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CN"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zh-CN"/>
        </w:rPr>
        <w:t>20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zh-CN"/>
        </w:rPr>
        <w:t>年福州市连江海峡水业有限公司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公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  <w:lang w:eastAsia="zh-CN"/>
        </w:rPr>
        <w:t>开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招聘工作人员报名、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试考生健康情况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调查表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1、本人的居民身份证号码为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3、本人现在的居住地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①连江县内；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②非连江县内。（来自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区/县）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①住自己家；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②住朋友或亲戚家；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③住连江县的酒店或宾馆；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④其他(请注明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二、行程情况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日后，本人是否有武汉旅居史：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①是；  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区）；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区）；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8、本人当前的健康码：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①绿码；  ②黄码；  ③红码。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三、异常症状和接触情况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后，本人是否有以下异常症状（有请标注）：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⑦以上皆无。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10、此次新型冠状病毒肺炎疫情期间，本人是否诊断为：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①确诊病例；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②疑似病例；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③无法排除感染可能的发热患者；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④确诊患者的密切接触者；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⑤以上皆无。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11、如果有上述第10条中描述的异常情形，是否已经按规定解除隔离：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①是；  ②否。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本人承诺以上信息填写真实有效，如有弄虚作假，一切责任自负。</w:t>
      </w:r>
    </w:p>
    <w:p>
      <w:pPr>
        <w:ind w:left="32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wordWrap w:val="0"/>
        <w:ind w:left="639" w:leftChars="152" w:hanging="320" w:hangingChars="1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</w:p>
    <w:p>
      <w:pPr>
        <w:pStyle w:val="4"/>
        <w:numPr>
          <w:ilvl w:val="0"/>
          <w:numId w:val="0"/>
        </w:numPr>
        <w:ind w:left="485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可根据国家卫生健康委官网每日疫情通报及微信小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程序“国务院客户端”动态查询全国各高、中风险地区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1A990D7E"/>
    <w:rsid w:val="23B751E6"/>
    <w:rsid w:val="2A9C19A6"/>
    <w:rsid w:val="2E444373"/>
    <w:rsid w:val="40A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1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dcterms:modified xsi:type="dcterms:W3CDTF">2020-06-23T10:52:30Z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