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kern w:val="0"/>
          <w:sz w:val="43"/>
          <w:szCs w:val="43"/>
          <w:u w:val="none"/>
          <w:lang w:val="en-US" w:eastAsia="zh-CN" w:bidi="ar"/>
        </w:rPr>
      </w:pPr>
      <w:r>
        <w:rPr>
          <w:rFonts w:hint="eastAsia" w:ascii="方正小标宋简体" w:hAnsi="方正小标宋简体" w:eastAsia="方正小标宋简体" w:cs="方正小标宋简体"/>
          <w:color w:val="000000"/>
          <w:kern w:val="0"/>
          <w:sz w:val="43"/>
          <w:szCs w:val="43"/>
          <w:u w:val="none"/>
          <w:lang w:val="en-US" w:eastAsia="zh-CN" w:bidi="ar"/>
        </w:rPr>
        <w:t>连江县管道</w:t>
      </w:r>
      <w:r>
        <w:rPr>
          <w:rFonts w:ascii="方正小标宋简体" w:hAnsi="方正小标宋简体" w:eastAsia="方正小标宋简体" w:cs="方正小标宋简体"/>
          <w:color w:val="000000"/>
          <w:kern w:val="0"/>
          <w:sz w:val="43"/>
          <w:szCs w:val="43"/>
          <w:u w:val="none"/>
          <w:lang w:val="en-US" w:eastAsia="zh-CN" w:bidi="ar"/>
        </w:rPr>
        <w:t>天然气价格联动机制</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kern w:val="0"/>
          <w:sz w:val="32"/>
          <w:szCs w:val="32"/>
          <w:u w:val="none"/>
          <w:lang w:val="en-US" w:eastAsia="zh-CN" w:bidi="ar"/>
        </w:rPr>
      </w:pP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为保障我</w:t>
      </w:r>
      <w:r>
        <w:rPr>
          <w:rFonts w:hint="eastAsia" w:ascii="仿宋_GB2312" w:hAnsi="仿宋_GB2312" w:eastAsia="仿宋_GB2312" w:cs="仿宋_GB2312"/>
          <w:color w:val="000000"/>
          <w:sz w:val="32"/>
          <w:szCs w:val="32"/>
          <w:u w:val="none"/>
          <w:lang w:eastAsia="zh-CN"/>
        </w:rPr>
        <w:t>县</w:t>
      </w:r>
      <w:r>
        <w:rPr>
          <w:rFonts w:hint="eastAsia" w:ascii="仿宋_GB2312" w:hAnsi="仿宋_GB2312" w:eastAsia="仿宋_GB2312" w:cs="仿宋_GB2312"/>
          <w:color w:val="000000"/>
          <w:sz w:val="32"/>
          <w:szCs w:val="32"/>
          <w:u w:val="none"/>
        </w:rPr>
        <w:t>城镇天然气平稳供应，推动行业高质量发展，根据国家发展改革委关于“十四五”时期深化天然气价格机制改革精神和《福建省天然气价格管理办法》有关规定，结合我</w:t>
      </w:r>
      <w:r>
        <w:rPr>
          <w:rFonts w:hint="eastAsia" w:ascii="仿宋_GB2312" w:hAnsi="仿宋_GB2312" w:eastAsia="仿宋_GB2312" w:cs="仿宋_GB2312"/>
          <w:color w:val="000000"/>
          <w:sz w:val="32"/>
          <w:szCs w:val="32"/>
          <w:u w:val="none"/>
          <w:lang w:eastAsia="zh-CN"/>
        </w:rPr>
        <w:t>县</w:t>
      </w:r>
      <w:r>
        <w:rPr>
          <w:rFonts w:hint="eastAsia" w:ascii="仿宋_GB2312" w:hAnsi="仿宋_GB2312" w:eastAsia="仿宋_GB2312" w:cs="仿宋_GB2312"/>
          <w:color w:val="000000"/>
          <w:sz w:val="32"/>
          <w:szCs w:val="32"/>
          <w:u w:val="none"/>
        </w:rPr>
        <w:t>实际情况，制定本机制。</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黑体" w:hAnsi="黑体" w:eastAsia="黑体" w:cs="黑体"/>
          <w:b w:val="0"/>
          <w:bCs w:val="0"/>
          <w:sz w:val="32"/>
          <w:szCs w:val="32"/>
          <w:u w:val="none"/>
        </w:rPr>
      </w:pPr>
      <w:r>
        <w:rPr>
          <w:rFonts w:hint="eastAsia" w:ascii="黑体" w:hAnsi="黑体" w:eastAsia="黑体" w:cs="黑体"/>
          <w:b w:val="0"/>
          <w:bCs w:val="0"/>
          <w:color w:val="000000"/>
          <w:sz w:val="32"/>
          <w:szCs w:val="32"/>
          <w:u w:val="none"/>
        </w:rPr>
        <w:t>一、适用范围</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本机制适用于</w:t>
      </w:r>
      <w:r>
        <w:rPr>
          <w:rFonts w:hint="eastAsia" w:ascii="仿宋_GB2312" w:hAnsi="仿宋_GB2312" w:eastAsia="仿宋_GB2312" w:cs="仿宋_GB2312"/>
          <w:color w:val="000000"/>
          <w:sz w:val="32"/>
          <w:szCs w:val="32"/>
          <w:u w:val="none"/>
          <w:lang w:eastAsia="zh-CN"/>
        </w:rPr>
        <w:t>连江县</w:t>
      </w:r>
      <w:r>
        <w:rPr>
          <w:rFonts w:hint="eastAsia" w:ascii="仿宋_GB2312" w:hAnsi="仿宋_GB2312" w:eastAsia="仿宋_GB2312" w:cs="仿宋_GB2312"/>
          <w:color w:val="000000"/>
          <w:sz w:val="32"/>
          <w:szCs w:val="32"/>
          <w:u w:val="none"/>
        </w:rPr>
        <w:t>联动调整管道天然气终端销售价格的行为。</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对于自主采购气源、由城燃企业配送、并与气源供应商和城镇燃气企业签署三方供气合同的大型工业用户不适用本机制。用户可与城燃企业按照三方供气合同约定的“气源采购价格+配气价格”自行协商终端销售价格。</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二、联动公式</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管道天然气终端销售价格由购气价格和配气价格组成。多气源供气时，购气价格按不同气源购气价格加权平均确定，即按照城镇燃气企业采购的</w:t>
      </w:r>
      <w:r>
        <w:rPr>
          <w:rFonts w:hint="eastAsia" w:ascii="仿宋_GB2312" w:hAnsi="仿宋_GB2312" w:eastAsia="仿宋_GB2312" w:cs="仿宋_GB2312"/>
          <w:color w:val="000000"/>
          <w:sz w:val="32"/>
          <w:szCs w:val="32"/>
          <w:u w:val="none"/>
          <w:lang w:val="en-US" w:eastAsia="zh-CN"/>
        </w:rPr>
        <w:t>全部气源</w:t>
      </w:r>
      <w:r>
        <w:rPr>
          <w:rFonts w:hint="eastAsia" w:ascii="仿宋_GB2312" w:hAnsi="仿宋_GB2312" w:eastAsia="仿宋_GB2312" w:cs="仿宋_GB2312"/>
          <w:color w:val="000000"/>
          <w:sz w:val="32"/>
          <w:szCs w:val="32"/>
          <w:u w:val="none"/>
        </w:rPr>
        <w:t>天然气（包括但不限于</w:t>
      </w:r>
      <w:r>
        <w:rPr>
          <w:rFonts w:hint="eastAsia" w:ascii="仿宋_GB2312" w:hAnsi="仿宋_GB2312" w:eastAsia="仿宋_GB2312" w:cs="仿宋_GB2312"/>
          <w:color w:val="000000"/>
          <w:sz w:val="32"/>
          <w:szCs w:val="32"/>
          <w:u w:val="none"/>
          <w:lang w:val="en-US" w:eastAsia="zh-CN"/>
        </w:rPr>
        <w:t>各类管输气源</w:t>
      </w:r>
      <w:r>
        <w:rPr>
          <w:rFonts w:hint="eastAsia" w:ascii="仿宋_GB2312" w:hAnsi="仿宋_GB2312" w:eastAsia="仿宋_GB2312" w:cs="仿宋_GB2312"/>
          <w:color w:val="000000"/>
          <w:sz w:val="32"/>
          <w:szCs w:val="32"/>
          <w:u w:val="none"/>
        </w:rPr>
        <w:t>、LNG现货气源等）的含税加权平均价确定。</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管道天然气销售价格与天然气采购价格</w:t>
      </w:r>
      <w:r>
        <w:rPr>
          <w:rFonts w:hint="eastAsia" w:ascii="仿宋_GB2312" w:hAnsi="仿宋_GB2312" w:eastAsia="仿宋_GB2312" w:cs="仿宋_GB2312"/>
          <w:color w:val="000000"/>
          <w:sz w:val="32"/>
          <w:szCs w:val="32"/>
          <w:u w:val="none"/>
          <w:lang w:eastAsia="zh-CN"/>
        </w:rPr>
        <w:t>（含运输费用）</w:t>
      </w:r>
      <w:r>
        <w:rPr>
          <w:rFonts w:hint="eastAsia" w:ascii="仿宋_GB2312" w:hAnsi="仿宋_GB2312" w:eastAsia="仿宋_GB2312" w:cs="仿宋_GB2312"/>
          <w:color w:val="000000"/>
          <w:sz w:val="32"/>
          <w:szCs w:val="32"/>
          <w:u w:val="none"/>
        </w:rPr>
        <w:t>联动调整。调整期销售价格=基期销售价格+联动调整额，联动调整额=计算期平均单位购气价格-基期平均单位购气价格。</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三、联动周期和启动条件</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sz w:val="32"/>
          <w:szCs w:val="32"/>
          <w:u w:val="none"/>
        </w:rPr>
        <w:t>居民用气销售价格</w:t>
      </w:r>
      <w:r>
        <w:rPr>
          <w:rFonts w:hint="eastAsia" w:ascii="仿宋_GB2312" w:hAnsi="仿宋_GB2312" w:eastAsia="仿宋_GB2312" w:cs="仿宋_GB2312"/>
          <w:sz w:val="32"/>
          <w:szCs w:val="32"/>
          <w:u w:val="none"/>
          <w:lang w:eastAsia="zh-CN"/>
        </w:rPr>
        <w:t>原则上</w:t>
      </w:r>
      <w:r>
        <w:rPr>
          <w:rFonts w:hint="eastAsia" w:ascii="仿宋_GB2312" w:hAnsi="仿宋_GB2312" w:eastAsia="仿宋_GB2312" w:cs="仿宋_GB2312"/>
          <w:sz w:val="32"/>
          <w:szCs w:val="32"/>
          <w:u w:val="none"/>
        </w:rPr>
        <w:t>按每6个月为一个联动调整周期，非居民用气销售价格</w:t>
      </w:r>
      <w:r>
        <w:rPr>
          <w:rFonts w:hint="eastAsia" w:ascii="仿宋_GB2312" w:hAnsi="仿宋_GB2312" w:eastAsia="仿宋_GB2312" w:cs="仿宋_GB2312"/>
          <w:sz w:val="32"/>
          <w:szCs w:val="32"/>
          <w:u w:val="none"/>
          <w:lang w:eastAsia="zh-CN"/>
        </w:rPr>
        <w:t>原则上</w:t>
      </w:r>
      <w:r>
        <w:rPr>
          <w:rFonts w:hint="eastAsia" w:ascii="仿宋_GB2312" w:hAnsi="仿宋_GB2312" w:eastAsia="仿宋_GB2312" w:cs="仿宋_GB2312"/>
          <w:sz w:val="32"/>
          <w:szCs w:val="32"/>
          <w:u w:val="none"/>
        </w:rPr>
        <w:t>按每3个月为一个联动调整周期。</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当周期内综合购气价格变动幅度达到5%时，原则上天然气终端销售价格与天然气购气价格联动调整。</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rPr>
        <w:t>四、联动程序</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 xml:space="preserve">城镇燃气企业应在每季度结束之日起 </w:t>
      </w:r>
      <w:r>
        <w:rPr>
          <w:rFonts w:hint="eastAsia" w:ascii="仿宋_GB2312" w:hAnsi="仿宋_GB2312" w:eastAsia="仿宋_GB2312" w:cs="仿宋_GB2312"/>
          <w:color w:val="000000"/>
          <w:sz w:val="32"/>
          <w:szCs w:val="32"/>
          <w:u w:val="none"/>
          <w:lang w:val="en-US" w:eastAsia="zh-CN"/>
        </w:rPr>
        <w:t>10</w:t>
      </w:r>
      <w:r>
        <w:rPr>
          <w:rFonts w:hint="eastAsia" w:ascii="仿宋_GB2312" w:hAnsi="仿宋_GB2312" w:eastAsia="仿宋_GB2312" w:cs="仿宋_GB2312"/>
          <w:color w:val="000000"/>
          <w:sz w:val="32"/>
          <w:szCs w:val="32"/>
          <w:u w:val="none"/>
        </w:rPr>
        <w:t>个工作日内，向价格主管部门报送天然气采购价格、用气量等相关数据以及合同、发票、结算单据等资料。价格主管部门审核后研究制定调价方案，达到启动条件的，综合考虑社会承受能力，按照兼顾供气企业、消费者利益、保持经济平稳运行的原则，可适当调整变动幅度，避免价格出现大幅波动。</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居民、非居民用天然气销售价格调整，由价格主管部门按联动机制调整，不再报县人民政府审议。</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综合购气价格测算数据和实际数据偏差部分、未达到启动条件而未调部分、当期未足额调整部分产生的差额，纳入后续调整周期累加或冲抵。</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u w:val="none"/>
        </w:rPr>
        <w:t>当天然气市场价格持续大幅上涨，可能对居民生活和经济平稳运行产生严重不利影响时，可暂时中止联动。居民用气价格下调调整幅度不限。国家和省对天然气价格调整另有政策规定的，不受联动机制限制</w:t>
      </w:r>
      <w:r>
        <w:rPr>
          <w:rFonts w:hint="eastAsia" w:ascii="仿宋_GB2312" w:hAnsi="仿宋_GB2312" w:eastAsia="仿宋_GB2312" w:cs="仿宋_GB2312"/>
          <w:color w:val="000000"/>
          <w:sz w:val="32"/>
          <w:szCs w:val="32"/>
          <w:u w:val="none"/>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黑体" w:hAnsi="黑体" w:eastAsia="黑体" w:cs="黑体"/>
          <w:b w:val="0"/>
          <w:bCs w:val="0"/>
          <w:color w:val="000000"/>
          <w:sz w:val="32"/>
          <w:szCs w:val="32"/>
          <w:u w:val="none"/>
        </w:rPr>
      </w:pPr>
      <w:r>
        <w:rPr>
          <w:rFonts w:hint="eastAsia" w:ascii="黑体" w:hAnsi="黑体" w:eastAsia="黑体" w:cs="黑体"/>
          <w:b w:val="0"/>
          <w:bCs w:val="0"/>
          <w:color w:val="000000"/>
          <w:sz w:val="32"/>
          <w:szCs w:val="32"/>
          <w:u w:val="none"/>
          <w:lang w:val="en-US" w:eastAsia="zh-CN"/>
        </w:rPr>
        <w:t>五</w:t>
      </w:r>
      <w:r>
        <w:rPr>
          <w:rFonts w:hint="eastAsia" w:ascii="黑体" w:hAnsi="黑体" w:eastAsia="黑体" w:cs="黑体"/>
          <w:b w:val="0"/>
          <w:bCs w:val="0"/>
          <w:color w:val="000000"/>
          <w:sz w:val="32"/>
          <w:szCs w:val="32"/>
          <w:u w:val="none"/>
        </w:rPr>
        <w:t>、相关措施</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1.城镇燃气企业要积极拓宽气源采购渠道，优化气源结构，实时了解市场价格走势，建立 LNG询、比价采购机制，降低综合购气成本，确保安全稳定供气。</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2.城镇燃气企业要如实反映情况，提供真实资料，配合做好相关工作。严格执行价格政策，主动在企业网站做好价格公示，接受社会监督。</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3.价格主管部门要对城镇燃气企业天然气价格政策执行情况进行监管，对价格违法行为，提交相关部门依法查处。</w:t>
      </w: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textAlignment w:val="auto"/>
        <w:rPr>
          <w:rFonts w:hint="eastAsia" w:ascii="仿宋_GB2312" w:hAnsi="仿宋_GB2312" w:eastAsia="仿宋_GB2312" w:cs="仿宋_GB2312"/>
          <w:color w:val="000000"/>
          <w:sz w:val="32"/>
          <w:szCs w:val="32"/>
          <w:u w:val="none"/>
        </w:rPr>
      </w:pP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1609" w:firstLineChars="503"/>
        <w:textAlignment w:val="auto"/>
        <w:rPr>
          <w:rFonts w:hint="eastAsia" w:ascii="仿宋_GB2312" w:hAnsi="仿宋_GB2312" w:eastAsia="仿宋_GB2312" w:cs="仿宋_GB2312"/>
          <w:color w:val="000000"/>
          <w:sz w:val="32"/>
          <w:szCs w:val="32"/>
          <w:u w:val="none"/>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1609" w:firstLineChars="503"/>
        <w:textAlignment w:val="auto"/>
        <w:rPr>
          <w:rFonts w:hint="eastAsia" w:ascii="仿宋_GB2312" w:hAnsi="仿宋_GB2312" w:eastAsia="仿宋_GB2312" w:cs="仿宋_GB2312"/>
          <w:color w:val="000000"/>
          <w:sz w:val="32"/>
          <w:szCs w:val="32"/>
          <w:u w:val="none"/>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1609" w:firstLineChars="503"/>
        <w:textAlignment w:val="auto"/>
        <w:rPr>
          <w:rFonts w:hint="eastAsia" w:ascii="仿宋_GB2312" w:hAnsi="仿宋_GB2312" w:eastAsia="仿宋_GB2312" w:cs="仿宋_GB2312"/>
          <w:color w:val="000000"/>
          <w:sz w:val="32"/>
          <w:szCs w:val="32"/>
          <w:u w:val="none"/>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1609" w:firstLineChars="503"/>
        <w:textAlignment w:val="auto"/>
        <w:rPr>
          <w:rFonts w:hint="eastAsia" w:ascii="仿宋_GB2312" w:hAnsi="仿宋_GB2312" w:eastAsia="仿宋_GB2312" w:cs="仿宋_GB2312"/>
          <w:color w:val="000000"/>
          <w:sz w:val="32"/>
          <w:szCs w:val="32"/>
          <w:u w:val="none"/>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MmQxMzI3OWUxNTUzYzU3NDMyZTdlYmU2NzFjMmYifQ=="/>
  </w:docVars>
  <w:rsids>
    <w:rsidRoot w:val="6AD7755C"/>
    <w:rsid w:val="01D60B10"/>
    <w:rsid w:val="03D951E0"/>
    <w:rsid w:val="0C7C2AC9"/>
    <w:rsid w:val="10CC2B23"/>
    <w:rsid w:val="13F82B68"/>
    <w:rsid w:val="18DD19B3"/>
    <w:rsid w:val="1990431D"/>
    <w:rsid w:val="1A664E58"/>
    <w:rsid w:val="1FF16F56"/>
    <w:rsid w:val="20AC4ABE"/>
    <w:rsid w:val="20E5713C"/>
    <w:rsid w:val="265B46AB"/>
    <w:rsid w:val="2CE81574"/>
    <w:rsid w:val="37811FDE"/>
    <w:rsid w:val="37B502A5"/>
    <w:rsid w:val="41BB76DF"/>
    <w:rsid w:val="42DA1507"/>
    <w:rsid w:val="49C4320F"/>
    <w:rsid w:val="4B7C1A79"/>
    <w:rsid w:val="4BB221E6"/>
    <w:rsid w:val="54ED5461"/>
    <w:rsid w:val="59EF5441"/>
    <w:rsid w:val="5A1530F9"/>
    <w:rsid w:val="5D881E34"/>
    <w:rsid w:val="68307A9B"/>
    <w:rsid w:val="68831CF3"/>
    <w:rsid w:val="69985CFB"/>
    <w:rsid w:val="6AD7755C"/>
    <w:rsid w:val="6C7E4B2F"/>
    <w:rsid w:val="705A7660"/>
    <w:rsid w:val="744A177D"/>
    <w:rsid w:val="75786CF6"/>
    <w:rsid w:val="76427E56"/>
    <w:rsid w:val="78BF05B7"/>
    <w:rsid w:val="78EE48AF"/>
    <w:rsid w:val="7A4974D2"/>
    <w:rsid w:val="7AAB7194"/>
    <w:rsid w:val="7BD16399"/>
    <w:rsid w:val="7E6B2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1065</Words>
  <Characters>1074</Characters>
  <Lines>0</Lines>
  <Paragraphs>0</Paragraphs>
  <TotalTime>14</TotalTime>
  <ScaleCrop>false</ScaleCrop>
  <LinksUpToDate>false</LinksUpToDate>
  <CharactersWithSpaces>1076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2024-06-06T02:12:00Z</dcterms:created>
  <dc:creator>十万个为什么</dc:creator>
  <cp:lastModifiedBy>十万个为什么</cp:lastModifiedBy>
  <cp:lastPrinted>2024-11-11T08:45:00Z</cp:lastPrinted>
  <dcterms:modified xsi:type="dcterms:W3CDTF">2025-01-09T08:50:45Z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27A94BA0C24E482DAC524185291074A3_11</vt:lpwstr>
  </property>
</Properties>
</file>