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49B" w:rsidRDefault="0094500E">
      <w:pPr>
        <w:pStyle w:val="a9"/>
        <w:spacing w:before="200" w:line="360" w:lineRule="auto"/>
        <w:ind w:leftChars="200" w:left="440" w:rightChars="200" w:right="440" w:firstLine="0"/>
        <w:jc w:val="center"/>
        <w:rPr>
          <w:sz w:val="32"/>
          <w:szCs w:val="32"/>
          <w:lang w:eastAsia="zh-CN"/>
        </w:rPr>
      </w:pPr>
      <w:r>
        <w:rPr>
          <w:rFonts w:hint="eastAsia"/>
          <w:spacing w:val="-15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  <w:lang w:eastAsia="zh-CN"/>
        </w:rPr>
        <w:t>连江县坑园镇颜岐村村庄规划（</w:t>
      </w:r>
      <w:r>
        <w:rPr>
          <w:rFonts w:hint="eastAsia"/>
          <w:sz w:val="32"/>
          <w:szCs w:val="32"/>
          <w:lang w:eastAsia="zh-CN"/>
        </w:rPr>
        <w:t>2023</w:t>
      </w:r>
      <w:r>
        <w:rPr>
          <w:rFonts w:hint="eastAsia"/>
          <w:sz w:val="32"/>
          <w:szCs w:val="32"/>
          <w:lang w:eastAsia="zh-CN"/>
        </w:rPr>
        <w:t>—</w:t>
      </w:r>
      <w:r>
        <w:rPr>
          <w:rFonts w:hint="eastAsia"/>
          <w:sz w:val="32"/>
          <w:szCs w:val="32"/>
          <w:lang w:eastAsia="zh-CN"/>
        </w:rPr>
        <w:t>2035</w:t>
      </w:r>
      <w:r>
        <w:rPr>
          <w:rFonts w:hint="eastAsia"/>
          <w:sz w:val="32"/>
          <w:szCs w:val="32"/>
          <w:lang w:eastAsia="zh-CN"/>
        </w:rPr>
        <w:t>年）修编</w:t>
      </w:r>
      <w:r>
        <w:rPr>
          <w:rFonts w:hint="eastAsia"/>
          <w:spacing w:val="-15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  <w:lang w:eastAsia="zh-CN"/>
        </w:rPr>
        <w:t>规划公示</w:t>
      </w:r>
    </w:p>
    <w:p w:rsidR="00A4749B" w:rsidRDefault="0094500E">
      <w:pPr>
        <w:pStyle w:val="a3"/>
      </w:pPr>
      <w:r>
        <w:rPr>
          <w:rFonts w:hint="eastAsia"/>
        </w:rPr>
        <w:t>随着《</w:t>
      </w:r>
      <w:r>
        <w:rPr>
          <w:rFonts w:hint="eastAsia"/>
        </w:rPr>
        <w:t>中共中央、国务院</w:t>
      </w:r>
      <w:r>
        <w:rPr>
          <w:rFonts w:hint="eastAsia"/>
        </w:rPr>
        <w:t>关于实施乡村振兴战略的意见</w:t>
      </w:r>
      <w:r>
        <w:rPr>
          <w:rFonts w:hint="eastAsia"/>
        </w:rPr>
        <w:t>》《</w:t>
      </w:r>
      <w:r>
        <w:rPr>
          <w:rFonts w:hint="eastAsia"/>
        </w:rPr>
        <w:t>乡村振兴战略规划（</w:t>
      </w:r>
      <w:r>
        <w:t>2018</w:t>
      </w:r>
      <w:r>
        <w:rPr>
          <w:rFonts w:hint="eastAsia"/>
        </w:rPr>
        <w:t>—</w:t>
      </w:r>
      <w:r>
        <w:t>2022</w:t>
      </w:r>
      <w:r>
        <w:t>年）》等文件的出台，《自然资源部办公厅关于加强村庄规划促进乡村振兴的通知》中确定了村庄规划是国土空间规划体系中乡村地区的详细规划，具有法定规划地位。为使乡村振兴战略有的放矢，乡村建设有法可依，根据目前村庄建设存在的问题</w:t>
      </w:r>
      <w:r>
        <w:rPr>
          <w:rFonts w:hint="eastAsia"/>
        </w:rPr>
        <w:t>，有</w:t>
      </w:r>
      <w:r>
        <w:t>利于今后规划管理，切实增强规划的合理性、可行性和科学性，特编制</w:t>
      </w:r>
      <w:r>
        <w:rPr>
          <w:rFonts w:hint="eastAsia"/>
        </w:rPr>
        <w:t>《连江县坑园镇颜岐村村庄规划（</w:t>
      </w:r>
      <w:r>
        <w:rPr>
          <w:rFonts w:hint="eastAsia"/>
        </w:rPr>
        <w:t>2023</w:t>
      </w:r>
      <w:r>
        <w:rPr>
          <w:rFonts w:hint="eastAsia"/>
        </w:rPr>
        <w:t>—</w:t>
      </w:r>
      <w:r>
        <w:rPr>
          <w:rFonts w:hint="eastAsia"/>
        </w:rPr>
        <w:t>2035</w:t>
      </w:r>
      <w:r>
        <w:rPr>
          <w:rFonts w:hint="eastAsia"/>
        </w:rPr>
        <w:t>年）修编》。</w:t>
      </w:r>
    </w:p>
    <w:p w:rsidR="00A4749B" w:rsidRDefault="0094500E">
      <w:pPr>
        <w:pStyle w:val="1"/>
      </w:pPr>
      <w:r>
        <w:rPr>
          <w:rFonts w:hint="eastAsia"/>
        </w:rPr>
        <w:t>一、区位及规划范围</w:t>
      </w:r>
    </w:p>
    <w:p w:rsidR="00A4749B" w:rsidRDefault="0094500E">
      <w:pPr>
        <w:pStyle w:val="a3"/>
      </w:pPr>
      <w:r>
        <w:rPr>
          <w:rFonts w:hint="eastAsia"/>
        </w:rPr>
        <w:t>颜岐村（史称岐峰）位于连江县坑园镇北部，地处可门港区火电厂所在地，东连象纬村，西侧与南侧与可门港经济开发区大官坂垦区相连，北面临罗源湾，是一个以海为田的渔村，下辖门边和对面山</w:t>
      </w:r>
      <w:r>
        <w:t>2</w:t>
      </w:r>
      <w:r>
        <w:t>个自然村。</w:t>
      </w:r>
    </w:p>
    <w:p w:rsidR="00A4749B" w:rsidRDefault="0094500E">
      <w:pPr>
        <w:pStyle w:val="a3"/>
      </w:pPr>
      <w:r>
        <w:rPr>
          <w:rFonts w:hint="eastAsia"/>
        </w:rPr>
        <w:t>本次规划范围为颜岐村村域范围，总面积为</w:t>
      </w:r>
      <w:r>
        <w:t>269.96</w:t>
      </w:r>
      <w:r>
        <w:t>公顷。</w:t>
      </w:r>
    </w:p>
    <w:p w:rsidR="00A4749B" w:rsidRDefault="0094500E">
      <w:pPr>
        <w:pStyle w:val="1"/>
      </w:pPr>
      <w:r>
        <w:rPr>
          <w:rFonts w:hint="eastAsia"/>
        </w:rPr>
        <w:t>二、规划目标与发展规模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目标定位</w:t>
      </w:r>
    </w:p>
    <w:p w:rsidR="00A4749B" w:rsidRDefault="0094500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）发展目标</w:t>
      </w:r>
    </w:p>
    <w:p w:rsidR="00A4749B" w:rsidRDefault="0094500E">
      <w:pPr>
        <w:pStyle w:val="a3"/>
      </w:pPr>
      <w:r>
        <w:rPr>
          <w:rFonts w:hint="eastAsia"/>
        </w:rPr>
        <w:t>1</w:t>
      </w:r>
      <w:r>
        <w:rPr>
          <w:rFonts w:hint="eastAsia"/>
        </w:rPr>
        <w:t>）滨海渔村，水产养殖加工与体验基地。</w:t>
      </w:r>
    </w:p>
    <w:p w:rsidR="00A4749B" w:rsidRDefault="0094500E">
      <w:pPr>
        <w:pStyle w:val="a3"/>
      </w:pPr>
      <w:r>
        <w:rPr>
          <w:rFonts w:hint="eastAsia"/>
        </w:rPr>
        <w:t>依托当地滨海渔业养殖，延伸产业链，规划生产加工、旅游体验等设施，创意利用乡村闲置要素、海洋渔业空间，打造滨海水产养殖与体验基地。</w:t>
      </w:r>
    </w:p>
    <w:p w:rsidR="00A4749B" w:rsidRDefault="0094500E">
      <w:pPr>
        <w:pStyle w:val="a3"/>
      </w:pPr>
      <w:r>
        <w:rPr>
          <w:rFonts w:hint="eastAsia"/>
        </w:rPr>
        <w:t>2</w:t>
      </w:r>
      <w:r>
        <w:rPr>
          <w:rFonts w:hint="eastAsia"/>
        </w:rPr>
        <w:t>）产村融合，港口工业</w:t>
      </w:r>
      <w:r>
        <w:rPr>
          <w:rFonts w:hint="eastAsia"/>
        </w:rPr>
        <w:t>综合服务配套。</w:t>
      </w:r>
    </w:p>
    <w:p w:rsidR="00A4749B" w:rsidRDefault="0094500E">
      <w:pPr>
        <w:pStyle w:val="a3"/>
      </w:pPr>
      <w:r>
        <w:rPr>
          <w:rFonts w:hint="eastAsia"/>
        </w:rPr>
        <w:t>在大力发展滨海渔业养殖的基础上，以当地港口工业为依托，融合可门港经济工业区服务人口特色需求，发展以居住生活配套为主的综合服务</w:t>
      </w:r>
      <w:r>
        <w:rPr>
          <w:rFonts w:hint="eastAsia"/>
        </w:rPr>
        <w:lastRenderedPageBreak/>
        <w:t>功能，为港区工业提供支撑。</w:t>
      </w:r>
    </w:p>
    <w:p w:rsidR="00A4749B" w:rsidRDefault="0094500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）发展定位</w:t>
      </w:r>
    </w:p>
    <w:p w:rsidR="00A4749B" w:rsidRDefault="0094500E">
      <w:pPr>
        <w:pStyle w:val="a3"/>
      </w:pPr>
      <w:r>
        <w:rPr>
          <w:rFonts w:hint="eastAsia"/>
        </w:rPr>
        <w:t>立足颜岐村资源禀赋，充分利用优越的滨海景观资源与独特的港口工业环境，大力挖掘多元的农、渔业基础，当地特色工业等资源，结合工业及生活配套等项目，适度发展水产养殖与工业配套服务，打造“产村融合”的特色乡村。目标建成以水产养殖加工为基础，打造为港口工业提供综合服务配套功能的城乡融合村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发展规模</w:t>
      </w:r>
    </w:p>
    <w:p w:rsidR="00A4749B" w:rsidRDefault="0094500E">
      <w:pPr>
        <w:pStyle w:val="a3"/>
      </w:pPr>
      <w:r>
        <w:rPr>
          <w:rFonts w:hint="eastAsia"/>
        </w:rPr>
        <w:t>（</w:t>
      </w:r>
      <w:r>
        <w:t>1</w:t>
      </w:r>
      <w:r>
        <w:t>）人口规模</w:t>
      </w:r>
    </w:p>
    <w:p w:rsidR="00A4749B" w:rsidRDefault="0094500E">
      <w:pPr>
        <w:pStyle w:val="a3"/>
      </w:pPr>
      <w:r>
        <w:t>2035</w:t>
      </w:r>
      <w:r>
        <w:t>年村域人</w:t>
      </w:r>
      <w:r>
        <w:t>口规模：</w:t>
      </w:r>
      <w:r>
        <w:rPr>
          <w:rFonts w:hint="eastAsia"/>
        </w:rPr>
        <w:t>3</w:t>
      </w:r>
      <w:r>
        <w:t>998</w:t>
      </w:r>
      <w:r>
        <w:t>。</w:t>
      </w:r>
    </w:p>
    <w:p w:rsidR="00A4749B" w:rsidRDefault="0094500E">
      <w:pPr>
        <w:pStyle w:val="a3"/>
      </w:pPr>
      <w:r>
        <w:rPr>
          <w:rFonts w:hint="eastAsia"/>
        </w:rPr>
        <w:t>（</w:t>
      </w:r>
      <w:r>
        <w:t>2</w:t>
      </w:r>
      <w:r>
        <w:t>）建设用地规模</w:t>
      </w:r>
    </w:p>
    <w:p w:rsidR="00A4749B" w:rsidRDefault="0094500E">
      <w:pPr>
        <w:pStyle w:val="a3"/>
      </w:pPr>
      <w:r>
        <w:rPr>
          <w:rFonts w:hint="eastAsia"/>
        </w:rPr>
        <w:t>规划颜岐村村域建设用地总面积</w:t>
      </w:r>
      <w:r>
        <w:t>195.02</w:t>
      </w:r>
      <w:r>
        <w:rPr>
          <w:rFonts w:hint="eastAsia"/>
        </w:rPr>
        <w:t>公顷，其中村庄建设用地</w:t>
      </w:r>
      <w:r>
        <w:t>25.99</w:t>
      </w:r>
      <w:r>
        <w:rPr>
          <w:rFonts w:hint="eastAsia"/>
        </w:rPr>
        <w:t>公顷，城镇用地</w:t>
      </w:r>
      <w:r>
        <w:t>155.04</w:t>
      </w:r>
      <w:r>
        <w:rPr>
          <w:rFonts w:hint="eastAsia"/>
        </w:rPr>
        <w:t>公顷，区域基础设施用地面积</w:t>
      </w:r>
      <w:r>
        <w:t>12.05</w:t>
      </w:r>
      <w:r>
        <w:t>公顷，其他建设用地面积</w:t>
      </w:r>
      <w:r>
        <w:t>195.02</w:t>
      </w:r>
      <w:r>
        <w:t>公顷</w:t>
      </w:r>
      <w:r>
        <w:rPr>
          <w:rFonts w:hint="eastAsia"/>
        </w:rPr>
        <w:t>。</w:t>
      </w:r>
    </w:p>
    <w:p w:rsidR="00A4749B" w:rsidRDefault="0094500E">
      <w:pPr>
        <w:pStyle w:val="1"/>
      </w:pPr>
      <w:r>
        <w:rPr>
          <w:rFonts w:hint="eastAsia"/>
        </w:rPr>
        <w:t>三、村域国土空间管控边界</w:t>
      </w:r>
    </w:p>
    <w:p w:rsidR="00060C2F" w:rsidRDefault="0094500E" w:rsidP="00B95D52">
      <w:pPr>
        <w:pStyle w:val="2"/>
      </w:pPr>
      <w:r>
        <w:rPr>
          <w:rFonts w:hint="eastAsia"/>
          <w:lang w:eastAsia="zh-CN"/>
        </w:rPr>
        <w:t>生态空间</w:t>
      </w:r>
    </w:p>
    <w:p w:rsidR="00A4749B" w:rsidRDefault="0094500E">
      <w:pPr>
        <w:pStyle w:val="a3"/>
      </w:pPr>
      <w:r>
        <w:rPr>
          <w:rFonts w:hint="eastAsia"/>
        </w:rPr>
        <w:t>生</w:t>
      </w:r>
      <w:r>
        <w:rPr>
          <w:rFonts w:hint="eastAsia"/>
        </w:rPr>
        <w:t>态空间面积</w:t>
      </w:r>
      <w:r>
        <w:t>12.68</w:t>
      </w:r>
      <w:r>
        <w:t>公顷。颜岐村内无生态保护红线，一般生态空间的有</w:t>
      </w:r>
      <w:r>
        <w:t>12.68</w:t>
      </w:r>
      <w:r>
        <w:t>公顷。</w:t>
      </w:r>
    </w:p>
    <w:p w:rsidR="00060C2F" w:rsidRDefault="0094500E" w:rsidP="00B95D52">
      <w:pPr>
        <w:pStyle w:val="2"/>
      </w:pPr>
      <w:r>
        <w:rPr>
          <w:rFonts w:hint="eastAsia"/>
        </w:rPr>
        <w:t>农业空间</w:t>
      </w:r>
    </w:p>
    <w:p w:rsidR="00A4749B" w:rsidRDefault="0094500E">
      <w:pPr>
        <w:pStyle w:val="a3"/>
      </w:pPr>
      <w:r>
        <w:rPr>
          <w:rFonts w:hint="eastAsia"/>
        </w:rPr>
        <w:t>农</w:t>
      </w:r>
      <w:r>
        <w:rPr>
          <w:rFonts w:hint="eastAsia"/>
        </w:rPr>
        <w:t>业空间面积</w:t>
      </w:r>
      <w:r>
        <w:t>62.09</w:t>
      </w:r>
      <w:r>
        <w:t>公顷，规划耕地保有量</w:t>
      </w:r>
      <w:r>
        <w:t>32.74</w:t>
      </w:r>
      <w:r>
        <w:t>公顷，永久基本农田面积为</w:t>
      </w:r>
      <w:r>
        <w:t>22.60</w:t>
      </w:r>
      <w:r>
        <w:t>公顷，划入一般农业空间的有</w:t>
      </w:r>
      <w:r>
        <w:t>39.49</w:t>
      </w:r>
      <w:r>
        <w:t>公顷。确保永久基本农田落地准确、边界清晰。任何单位和个人不得改变或者占用，或者擅自改变用途。</w:t>
      </w:r>
    </w:p>
    <w:p w:rsidR="00060C2F" w:rsidRDefault="0094500E" w:rsidP="00B95D52">
      <w:pPr>
        <w:pStyle w:val="2"/>
      </w:pPr>
      <w:r>
        <w:rPr>
          <w:rFonts w:hint="eastAsia"/>
        </w:rPr>
        <w:t>建设空间</w:t>
      </w:r>
    </w:p>
    <w:p w:rsidR="00A4749B" w:rsidRDefault="0094500E">
      <w:pPr>
        <w:pStyle w:val="a3"/>
      </w:pPr>
      <w:r>
        <w:rPr>
          <w:rFonts w:hint="eastAsia"/>
        </w:rPr>
        <w:t>村</w:t>
      </w:r>
      <w:r>
        <w:rPr>
          <w:rFonts w:hint="eastAsia"/>
        </w:rPr>
        <w:t>域范围内共划定建设空间</w:t>
      </w:r>
      <w:r>
        <w:t>195.19</w:t>
      </w:r>
      <w:r>
        <w:t>公顷。</w:t>
      </w:r>
      <w:r>
        <w:rPr>
          <w:rFonts w:hint="eastAsia"/>
        </w:rPr>
        <w:t>其中，城镇空间</w:t>
      </w:r>
      <w:r>
        <w:t>155.04</w:t>
      </w:r>
      <w:r>
        <w:t>公顷，</w:t>
      </w:r>
      <w:r>
        <w:lastRenderedPageBreak/>
        <w:t>村庄建设边界</w:t>
      </w:r>
      <w:r>
        <w:t>26.16</w:t>
      </w:r>
      <w:r>
        <w:t>公顷，村庄集中建设区</w:t>
      </w:r>
      <w:r>
        <w:t>25.99</w:t>
      </w:r>
      <w:r>
        <w:t>公顷，村庄弹性发展区</w:t>
      </w:r>
      <w:r>
        <w:t>0.17</w:t>
      </w:r>
      <w:r>
        <w:t>公顷，其他</w:t>
      </w:r>
      <w:r>
        <w:t>13.99</w:t>
      </w:r>
      <w:r>
        <w:t>公顷。</w:t>
      </w:r>
    </w:p>
    <w:p w:rsidR="00A4749B" w:rsidRDefault="0094500E">
      <w:pPr>
        <w:pStyle w:val="a3"/>
      </w:pPr>
      <w:r>
        <w:rPr>
          <w:rFonts w:hint="eastAsia"/>
        </w:rPr>
        <w:t>规划村庄建设用地面积</w:t>
      </w:r>
      <w:r>
        <w:t>25.99</w:t>
      </w:r>
      <w:r>
        <w:t>公顷，较现状的</w:t>
      </w:r>
      <w:r>
        <w:t>35.28</w:t>
      </w:r>
      <w:r>
        <w:t>公顷减少了</w:t>
      </w:r>
      <w:r>
        <w:t>9.29</w:t>
      </w:r>
      <w:r>
        <w:t>公顷，减少部分主要被城镇开发边界覆盖，规</w:t>
      </w:r>
      <w:r>
        <w:t>划为城镇留白用地；人均村庄建设用地面积</w:t>
      </w:r>
      <w:r>
        <w:t>65.01</w:t>
      </w:r>
      <w:r>
        <w:t>平方米</w:t>
      </w:r>
      <w:r>
        <w:t>/</w:t>
      </w:r>
      <w:r>
        <w:t>人，较现状的</w:t>
      </w:r>
      <w:r>
        <w:t>80.96</w:t>
      </w:r>
      <w:r>
        <w:t>平方米</w:t>
      </w:r>
      <w:r>
        <w:t>/</w:t>
      </w:r>
      <w:r>
        <w:t>人减少了</w:t>
      </w:r>
      <w:r>
        <w:t>15.95</w:t>
      </w:r>
      <w:r>
        <w:t>平方米</w:t>
      </w:r>
      <w:r>
        <w:t>/</w:t>
      </w:r>
      <w:r>
        <w:t>人。</w:t>
      </w:r>
    </w:p>
    <w:p w:rsidR="00A4749B" w:rsidRDefault="0094500E">
      <w:pPr>
        <w:pStyle w:val="1"/>
      </w:pPr>
      <w:r>
        <w:rPr>
          <w:rFonts w:hint="eastAsia"/>
        </w:rPr>
        <w:t>四、村域产业规划</w:t>
      </w:r>
    </w:p>
    <w:p w:rsidR="00A4749B" w:rsidRDefault="0094500E">
      <w:pPr>
        <w:pStyle w:val="a3"/>
      </w:pPr>
      <w:r>
        <w:rPr>
          <w:rFonts w:hint="eastAsia"/>
        </w:rPr>
        <w:t>以水产养殖加工为基础，依托港口工业，以生活配套、滨海渔旅配套等为亮点，产业多元融合发展。</w:t>
      </w:r>
    </w:p>
    <w:p w:rsidR="00A4749B" w:rsidRDefault="0094500E">
      <w:pPr>
        <w:pStyle w:val="a3"/>
      </w:pPr>
      <w:r>
        <w:rPr>
          <w:rFonts w:hint="eastAsia"/>
        </w:rPr>
        <w:t>规划形成“四核一轴一带四区”的布局结构；</w:t>
      </w:r>
    </w:p>
    <w:p w:rsidR="00A4749B" w:rsidRDefault="0094500E">
      <w:pPr>
        <w:pStyle w:val="a3"/>
      </w:pPr>
      <w:r>
        <w:rPr>
          <w:rFonts w:hint="eastAsia"/>
        </w:rPr>
        <w:t>四核：依托滨海养殖、渔旅配套、可门港特殊工业、村庄人文风情，打造体验核心；</w:t>
      </w:r>
      <w:r>
        <w:rPr>
          <w:rFonts w:hint="eastAsia"/>
        </w:rPr>
        <w:t>一轴：联动生活配套、工业生产、休闲娱乐等功能，形成产业联动发展轴；</w:t>
      </w:r>
      <w:r>
        <w:rPr>
          <w:rFonts w:hint="eastAsia"/>
        </w:rPr>
        <w:t>一带：沿滨海岸线，结合码头、养殖基地等形成渔旅发展带；</w:t>
      </w:r>
      <w:r>
        <w:rPr>
          <w:rFonts w:hint="eastAsia"/>
        </w:rPr>
        <w:t>四区：港口特色工业区、滨海渔旅配套区、人文风情体验区、自然生态保育区。</w:t>
      </w:r>
    </w:p>
    <w:p w:rsidR="00A4749B" w:rsidRDefault="0094500E">
      <w:pPr>
        <w:pStyle w:val="1"/>
      </w:pPr>
      <w:r>
        <w:rPr>
          <w:rFonts w:hint="eastAsia"/>
        </w:rPr>
        <w:t>五、村庄建设规划</w:t>
      </w:r>
    </w:p>
    <w:p w:rsidR="00A4749B" w:rsidRDefault="0094500E">
      <w:pPr>
        <w:pStyle w:val="a3"/>
      </w:pPr>
      <w:r>
        <w:rPr>
          <w:rFonts w:hint="eastAsia"/>
        </w:rPr>
        <w:t>规划村域建设用地包括村域城乡建设用地、区域基础设施用地以及其他建设用地三类。</w:t>
      </w:r>
    </w:p>
    <w:p w:rsidR="00A4749B" w:rsidRDefault="0094500E">
      <w:pPr>
        <w:pStyle w:val="a3"/>
      </w:pPr>
      <w:r>
        <w:rPr>
          <w:rFonts w:hint="eastAsia"/>
        </w:rPr>
        <w:t>规划村庄建设用地包括居住用地、公共管理与公共服务用地、工业用地、仓储用地、城镇村道路用地、交通场站用地、公用设施用地、绿地与开敞空间用地等，总用地面积为</w:t>
      </w:r>
      <w:r>
        <w:t>25.99</w:t>
      </w:r>
      <w:r>
        <w:rPr>
          <w:rFonts w:hint="eastAsia"/>
        </w:rPr>
        <w:t>公顷，人均村庄建设用地面积为</w:t>
      </w:r>
      <w:r>
        <w:t>65.01</w:t>
      </w:r>
      <w:r>
        <w:rPr>
          <w:rFonts w:hint="eastAsia"/>
        </w:rPr>
        <w:t>平方米。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居住用地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划居住用地面积</w:t>
      </w:r>
      <w:r>
        <w:t>20.68</w:t>
      </w:r>
      <w:r>
        <w:rPr>
          <w:rFonts w:hint="eastAsia"/>
        </w:rPr>
        <w:t>公顷。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lastRenderedPageBreak/>
        <w:t>公共管理与公共服务用地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划公共管理与公共服务用地面积</w:t>
      </w:r>
      <w:r>
        <w:rPr>
          <w:rFonts w:hint="eastAsia"/>
        </w:rPr>
        <w:t>1.6</w:t>
      </w:r>
      <w:r>
        <w:t>0</w:t>
      </w:r>
      <w:r>
        <w:rPr>
          <w:rFonts w:hint="eastAsia"/>
        </w:rPr>
        <w:t>公顷，其中，新增文化</w:t>
      </w:r>
      <w:r>
        <w:rPr>
          <w:rFonts w:hint="eastAsia"/>
        </w:rPr>
        <w:t>用地</w:t>
      </w:r>
      <w:r>
        <w:t>0.14</w:t>
      </w:r>
      <w:r>
        <w:rPr>
          <w:rFonts w:hint="eastAsia"/>
        </w:rPr>
        <w:t>公顷。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工业用地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划保留现状工业用地，面积</w:t>
      </w:r>
      <w:r>
        <w:rPr>
          <w:rFonts w:hint="eastAsia"/>
        </w:rPr>
        <w:t>0</w:t>
      </w:r>
      <w:r>
        <w:t>.8</w:t>
      </w:r>
      <w:r>
        <w:rPr>
          <w:rFonts w:hint="eastAsia"/>
        </w:rPr>
        <w:t>公顷。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仓储用地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划保留现状仓储用地，面积</w:t>
      </w:r>
      <w:r>
        <w:rPr>
          <w:rFonts w:hint="eastAsia"/>
        </w:rPr>
        <w:t>0</w:t>
      </w:r>
      <w:r>
        <w:t>.01</w:t>
      </w:r>
      <w:r>
        <w:rPr>
          <w:rFonts w:hint="eastAsia"/>
        </w:rPr>
        <w:t>公顷。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城镇村道路用地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划城镇村道路用地面积</w:t>
      </w:r>
      <w:r>
        <w:t>2.16</w:t>
      </w:r>
      <w:r>
        <w:rPr>
          <w:rFonts w:hint="eastAsia"/>
        </w:rPr>
        <w:t>公顷，其中，新增道路连接至骨灰楼，新增阶梯步道连接骨灰楼至南侧道路，拓宽骨灰楼南侧道路。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社会停车场用地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划社会停车场用地面积</w:t>
      </w:r>
      <w:r w:rsidR="00A52EE1">
        <w:t>0.37</w:t>
      </w:r>
      <w:r>
        <w:rPr>
          <w:rFonts w:hint="eastAsia"/>
        </w:rPr>
        <w:t>公顷，其中，规划在主干路沿线分段增设多处公共停车场。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公用设施用地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划保留现状</w:t>
      </w:r>
      <w:r w:rsidR="00141B43">
        <w:rPr>
          <w:rFonts w:hint="eastAsia"/>
        </w:rPr>
        <w:t>公用设施</w:t>
      </w:r>
      <w:bookmarkStart w:id="0" w:name="_GoBack"/>
      <w:bookmarkEnd w:id="0"/>
      <w:r>
        <w:rPr>
          <w:rFonts w:hint="eastAsia"/>
        </w:rPr>
        <w:t>用地，面积</w:t>
      </w:r>
      <w:r>
        <w:rPr>
          <w:rFonts w:hint="eastAsia"/>
        </w:rPr>
        <w:t>0</w:t>
      </w:r>
      <w:r>
        <w:t>.07</w:t>
      </w:r>
      <w:r>
        <w:rPr>
          <w:rFonts w:hint="eastAsia"/>
        </w:rPr>
        <w:t>公顷。</w:t>
      </w:r>
    </w:p>
    <w:p w:rsidR="00A4749B" w:rsidRDefault="0094500E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绿地与开敞空间用地</w:t>
      </w:r>
    </w:p>
    <w:p w:rsidR="00A4749B" w:rsidRDefault="0094500E">
      <w:pPr>
        <w:pStyle w:val="a3"/>
      </w:pPr>
      <w:r>
        <w:rPr>
          <w:rFonts w:hint="eastAsia"/>
        </w:rPr>
        <w:t>规</w:t>
      </w:r>
      <w:r>
        <w:rPr>
          <w:rFonts w:hint="eastAsia"/>
        </w:rPr>
        <w:t>划绿地与开敞空间用地面积</w:t>
      </w:r>
      <w:r>
        <w:t>0.3</w:t>
      </w:r>
      <w:r>
        <w:rPr>
          <w:rFonts w:hint="eastAsia"/>
        </w:rPr>
        <w:t>公顷，其中，规划在主干路沿线分段增设多处公园绿地。</w:t>
      </w:r>
    </w:p>
    <w:p w:rsidR="00A4749B" w:rsidRDefault="0094500E">
      <w:pPr>
        <w:pStyle w:val="1"/>
      </w:pPr>
      <w:r>
        <w:rPr>
          <w:rFonts w:hint="eastAsia"/>
        </w:rPr>
        <w:t>六、近期建设指引</w:t>
      </w:r>
    </w:p>
    <w:p w:rsidR="00A4749B" w:rsidRDefault="0094500E">
      <w:pPr>
        <w:pStyle w:val="a3"/>
      </w:pPr>
      <w:r>
        <w:rPr>
          <w:rFonts w:hint="eastAsia"/>
        </w:rPr>
        <w:t>近期建设项目包括道路交通、新村建设、市政公用设施、公共服务设施</w:t>
      </w:r>
      <w:r>
        <w:t>4</w:t>
      </w:r>
      <w:r>
        <w:t>类，共</w:t>
      </w:r>
      <w:r>
        <w:t>13</w:t>
      </w:r>
      <w:r>
        <w:t>个项目</w:t>
      </w:r>
      <w:r>
        <w:rPr>
          <w:rFonts w:hint="eastAsia"/>
        </w:rPr>
        <w:t>。</w:t>
      </w:r>
    </w:p>
    <w:p w:rsidR="00A4749B" w:rsidRDefault="0094500E">
      <w:pPr>
        <w:jc w:val="center"/>
        <w:rPr>
          <w:b/>
          <w:spacing w:val="3"/>
          <w:w w:val="95"/>
          <w:sz w:val="21"/>
          <w:lang w:eastAsia="zh-CN"/>
        </w:rPr>
      </w:pPr>
      <w:r>
        <w:rPr>
          <w:rFonts w:hint="eastAsia"/>
          <w:b/>
          <w:spacing w:val="3"/>
          <w:w w:val="95"/>
          <w:sz w:val="21"/>
          <w:lang w:eastAsia="zh-CN"/>
        </w:rPr>
        <w:t>近期建设项目表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22"/>
        <w:gridCol w:w="1052"/>
        <w:gridCol w:w="1413"/>
        <w:gridCol w:w="2480"/>
        <w:gridCol w:w="730"/>
        <w:gridCol w:w="876"/>
        <w:gridCol w:w="875"/>
        <w:gridCol w:w="876"/>
      </w:tblGrid>
      <w:tr w:rsidR="00A4749B">
        <w:trPr>
          <w:trHeight w:hRule="exact" w:val="397"/>
          <w:tblHeader/>
          <w:jc w:val="center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序号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项目类型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项目名称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项目内容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项目</w:t>
            </w:r>
          </w:p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规模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建设年限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投资额</w:t>
            </w: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br/>
            </w: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（万元）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建议资</w:t>
            </w:r>
          </w:p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D0D0D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D0D0D"/>
                <w:sz w:val="13"/>
                <w:szCs w:val="13"/>
                <w:lang w:eastAsia="zh-CN"/>
              </w:rPr>
              <w:t>金来源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道路交通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新建道路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新建道路连接村道至规划骨灰楼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440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新建道路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新建阶梯步道连接骨灰楼至南侧村道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130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3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道路拓宽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骨灰楼南侧道路拓宽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公里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2027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4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道路拓宽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村庄主干路拓宽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700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2029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lastRenderedPageBreak/>
              <w:t>5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道路整治、硬化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道路整治、硬化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2028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6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新建停车场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骨灰楼西侧新建停车场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1148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7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新建停车场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主干路左侧分段式增设停车场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1102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2030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8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新建停车场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规划文化活动中心北侧增设停车场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1421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2028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新村建设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新增宅基地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安置小区左侧新增宅基地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2029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市政公用设施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建设高位水池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居民点西南侧建设高位水池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395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11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公共服务设施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建设骨灰楼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“赤头鼻”区域新建骨灰楼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2159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2026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12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新增公园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主干路左侧分段式增设公园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557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2030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  <w:tr w:rsidR="00A4749B">
        <w:trPr>
          <w:trHeight w:hRule="exact" w:val="397"/>
          <w:jc w:val="center"/>
        </w:trPr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13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4749B" w:rsidRDefault="00A4749B">
            <w:pPr>
              <w:widowControl/>
              <w:autoSpaceDE/>
              <w:autoSpaceDN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新增文化活动中心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主干路北侧新增文化活动中心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1350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㎡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2027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—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49B" w:rsidRDefault="0094500E">
            <w:pPr>
              <w:widowControl/>
              <w:autoSpaceDE/>
              <w:autoSpaceDN/>
              <w:jc w:val="center"/>
              <w:rPr>
                <w:rFonts w:asciiTheme="minorEastAsia" w:eastAsiaTheme="minorEastAsia" w:hAnsiTheme="minorEastAsia" w:cs="宋体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政府补贴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+</w:t>
            </w:r>
            <w:r>
              <w:rPr>
                <w:rFonts w:asciiTheme="minorEastAsia" w:eastAsiaTheme="minorEastAsia" w:hAnsiTheme="minorEastAsia" w:cs="宋体" w:hint="eastAsia"/>
                <w:color w:val="000000"/>
                <w:sz w:val="13"/>
                <w:szCs w:val="13"/>
                <w:lang w:eastAsia="zh-CN"/>
              </w:rPr>
              <w:t>村民自筹</w:t>
            </w:r>
          </w:p>
        </w:tc>
      </w:tr>
    </w:tbl>
    <w:p w:rsidR="00A4749B" w:rsidRDefault="00A4749B">
      <w:pPr>
        <w:jc w:val="center"/>
        <w:rPr>
          <w:b/>
          <w:spacing w:val="3"/>
          <w:w w:val="95"/>
          <w:sz w:val="21"/>
          <w:lang w:eastAsia="zh-CN"/>
        </w:rPr>
      </w:pPr>
    </w:p>
    <w:p w:rsidR="00A4749B" w:rsidRDefault="0094500E">
      <w:pPr>
        <w:rPr>
          <w:sz w:val="20"/>
        </w:rPr>
      </w:pPr>
      <w:r>
        <w:rPr>
          <w:sz w:val="20"/>
        </w:rPr>
        <w:br w:type="page"/>
      </w:r>
    </w:p>
    <w:p w:rsidR="00A4749B" w:rsidRDefault="005E5087">
      <w:pPr>
        <w:pStyle w:val="1"/>
      </w:pPr>
      <w:r>
        <w:rPr>
          <w:rFonts w:hint="eastAsia"/>
        </w:rPr>
        <w:lastRenderedPageBreak/>
        <w:t>七</w:t>
      </w:r>
      <w:r w:rsidR="0094500E">
        <w:rPr>
          <w:rFonts w:hint="eastAsia"/>
        </w:rPr>
        <w:t>、公示图</w:t>
      </w:r>
      <w:r w:rsidR="0094500E">
        <w:rPr>
          <w:rFonts w:hint="eastAsia"/>
        </w:rPr>
        <w:t>纸</w:t>
      </w:r>
    </w:p>
    <w:p w:rsidR="00B95D52" w:rsidRPr="00B95D52" w:rsidRDefault="0094500E" w:rsidP="00B95D52">
      <w:pPr>
        <w:pStyle w:val="2"/>
        <w:numPr>
          <w:ilvl w:val="0"/>
          <w:numId w:val="1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村域综合现状图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B95D52">
        <w:trPr>
          <w:jc w:val="center"/>
        </w:trPr>
        <w:tc>
          <w:tcPr>
            <w:tcW w:w="8505" w:type="dxa"/>
          </w:tcPr>
          <w:p w:rsidR="00B95D52" w:rsidRDefault="00B95D52" w:rsidP="00B95D52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68480" behindDoc="0" locked="0" layoutInCell="1" allowOverlap="1" wp14:anchorId="46CCE18F" wp14:editId="3CF6096F">
                  <wp:simplePos x="0" y="0"/>
                  <wp:positionH relativeFrom="column">
                    <wp:posOffset>541810</wp:posOffset>
                  </wp:positionH>
                  <wp:positionV relativeFrom="paragraph">
                    <wp:posOffset>93069</wp:posOffset>
                  </wp:positionV>
                  <wp:extent cx="4320000" cy="3052622"/>
                  <wp:effectExtent l="0" t="0" r="0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052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D52" w:rsidRDefault="005E5087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村域综合</w:t>
      </w:r>
      <w:r w:rsidR="00B95D52">
        <w:rPr>
          <w:rFonts w:hint="eastAsia"/>
          <w:lang w:eastAsia="zh-CN"/>
        </w:rPr>
        <w:t>规划</w:t>
      </w:r>
      <w:r>
        <w:rPr>
          <w:rFonts w:hint="eastAsia"/>
          <w:lang w:eastAsia="zh-CN"/>
        </w:rPr>
        <w:t>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B95D52">
        <w:trPr>
          <w:jc w:val="center"/>
        </w:trPr>
        <w:tc>
          <w:tcPr>
            <w:tcW w:w="8505" w:type="dxa"/>
          </w:tcPr>
          <w:p w:rsidR="00B95D52" w:rsidRDefault="00B95D52" w:rsidP="00C13ED9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74624" behindDoc="0" locked="0" layoutInCell="1" allowOverlap="1" wp14:anchorId="2833D3C2" wp14:editId="674F8D52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88265</wp:posOffset>
                  </wp:positionV>
                  <wp:extent cx="4317365" cy="3052445"/>
                  <wp:effectExtent l="0" t="0" r="0" b="0"/>
                  <wp:wrapTopAndBottom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05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D52" w:rsidRDefault="00B95D52" w:rsidP="00B95D52">
      <w:pPr>
        <w:pStyle w:val="a3"/>
      </w:pPr>
    </w:p>
    <w:p w:rsidR="00B95D52" w:rsidRDefault="00B95D52">
      <w:pPr>
        <w:widowControl/>
        <w:autoSpaceDE/>
        <w:autoSpaceDN/>
        <w:rPr>
          <w:w w:val="95"/>
          <w:sz w:val="28"/>
          <w:szCs w:val="30"/>
          <w:lang w:eastAsia="zh-CN"/>
        </w:rPr>
      </w:pPr>
      <w:r>
        <w:br w:type="page"/>
      </w:r>
    </w:p>
    <w:p w:rsidR="00B95D52" w:rsidRDefault="00B95D52" w:rsidP="00B95D52">
      <w:pPr>
        <w:pStyle w:val="a3"/>
      </w:pPr>
    </w:p>
    <w:p w:rsidR="00B95D52" w:rsidRPr="00B95D52" w:rsidRDefault="00B95D52" w:rsidP="00B95D52">
      <w:pPr>
        <w:pStyle w:val="2"/>
        <w:numPr>
          <w:ilvl w:val="0"/>
          <w:numId w:val="15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国土空间管控边界</w:t>
      </w:r>
      <w:r>
        <w:rPr>
          <w:rFonts w:hint="eastAsia"/>
          <w:lang w:eastAsia="zh-CN"/>
        </w:rPr>
        <w:t>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C13ED9">
        <w:trPr>
          <w:jc w:val="center"/>
        </w:trPr>
        <w:tc>
          <w:tcPr>
            <w:tcW w:w="8505" w:type="dxa"/>
          </w:tcPr>
          <w:p w:rsidR="00B95D52" w:rsidRDefault="00B95D52" w:rsidP="00C13ED9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1792" behindDoc="0" locked="0" layoutInCell="1" allowOverlap="1" wp14:anchorId="3D2BABFC" wp14:editId="4F71BC4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93980</wp:posOffset>
                  </wp:positionV>
                  <wp:extent cx="4317365" cy="3052445"/>
                  <wp:effectExtent l="0" t="0" r="0" b="0"/>
                  <wp:wrapTopAndBottom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05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D52" w:rsidRDefault="00B95D52" w:rsidP="00B95D52">
      <w:pPr>
        <w:pStyle w:val="2"/>
        <w:rPr>
          <w:lang w:eastAsia="zh-CN"/>
        </w:rPr>
      </w:pPr>
      <w:r>
        <w:rPr>
          <w:rFonts w:hint="eastAsia"/>
          <w:lang w:eastAsia="zh-CN"/>
        </w:rPr>
        <w:t>农村居民点规划布局</w:t>
      </w:r>
      <w:r>
        <w:rPr>
          <w:rFonts w:hint="eastAsia"/>
          <w:lang w:eastAsia="zh-CN"/>
        </w:rPr>
        <w:t>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C13ED9">
        <w:trPr>
          <w:jc w:val="center"/>
        </w:trPr>
        <w:tc>
          <w:tcPr>
            <w:tcW w:w="8505" w:type="dxa"/>
          </w:tcPr>
          <w:p w:rsidR="00B95D52" w:rsidRDefault="00B95D52" w:rsidP="00C13ED9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3840" behindDoc="0" locked="0" layoutInCell="1" allowOverlap="1" wp14:anchorId="595213C4" wp14:editId="3CCD23B7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86995</wp:posOffset>
                  </wp:positionV>
                  <wp:extent cx="4317365" cy="3051810"/>
                  <wp:effectExtent l="0" t="0" r="0" b="0"/>
                  <wp:wrapTopAndBottom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05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D52" w:rsidRDefault="00B95D52" w:rsidP="00B95D52">
      <w:pPr>
        <w:pStyle w:val="a3"/>
      </w:pPr>
    </w:p>
    <w:p w:rsidR="00B95D52" w:rsidRDefault="00B95D52">
      <w:pPr>
        <w:widowControl/>
        <w:autoSpaceDE/>
        <w:autoSpaceDN/>
        <w:rPr>
          <w:w w:val="95"/>
          <w:sz w:val="28"/>
          <w:szCs w:val="30"/>
          <w:lang w:eastAsia="zh-CN"/>
        </w:rPr>
      </w:pPr>
      <w:r>
        <w:br w:type="page"/>
      </w:r>
    </w:p>
    <w:p w:rsidR="00B95D52" w:rsidRDefault="00B95D52" w:rsidP="00B95D52">
      <w:pPr>
        <w:pStyle w:val="a3"/>
      </w:pPr>
    </w:p>
    <w:p w:rsidR="00B95D52" w:rsidRPr="00B95D52" w:rsidRDefault="00B95D52" w:rsidP="00B95D52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主要农村居民点总平面示意</w:t>
      </w:r>
      <w:r>
        <w:rPr>
          <w:rFonts w:hint="eastAsia"/>
          <w:lang w:eastAsia="zh-CN"/>
        </w:rPr>
        <w:t>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C13ED9">
        <w:trPr>
          <w:jc w:val="center"/>
        </w:trPr>
        <w:tc>
          <w:tcPr>
            <w:tcW w:w="8505" w:type="dxa"/>
          </w:tcPr>
          <w:p w:rsidR="00B95D52" w:rsidRDefault="00B95D52" w:rsidP="00C13ED9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3D2BABFC" wp14:editId="4F71BC4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93345</wp:posOffset>
                  </wp:positionV>
                  <wp:extent cx="4317365" cy="3052445"/>
                  <wp:effectExtent l="0" t="0" r="0" b="0"/>
                  <wp:wrapTopAndBottom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05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95D52" w:rsidRPr="00B95D52" w:rsidRDefault="00B95D52" w:rsidP="00B95D52"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近期实施项目</w:t>
      </w:r>
      <w:r>
        <w:rPr>
          <w:rFonts w:hint="eastAsia"/>
          <w:lang w:eastAsia="zh-CN"/>
        </w:rPr>
        <w:t>图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B95D52" w:rsidTr="00C13ED9">
        <w:trPr>
          <w:jc w:val="center"/>
        </w:trPr>
        <w:tc>
          <w:tcPr>
            <w:tcW w:w="8505" w:type="dxa"/>
          </w:tcPr>
          <w:p w:rsidR="00B95D52" w:rsidRDefault="00B95D52" w:rsidP="00C13ED9">
            <w:pPr>
              <w:spacing w:line="240" w:lineRule="atLeast"/>
              <w:rPr>
                <w:rFonts w:hint="eastAsia"/>
                <w:lang w:eastAsia="zh-CN"/>
              </w:rPr>
            </w:pPr>
            <w:r>
              <w:rPr>
                <w:rFonts w:hint="eastAsia"/>
                <w:noProof/>
                <w:lang w:eastAsia="zh-CN"/>
              </w:rPr>
              <w:drawing>
                <wp:anchor distT="0" distB="0" distL="114300" distR="114300" simplePos="0" relativeHeight="251693056" behindDoc="0" locked="0" layoutInCell="1" allowOverlap="1" wp14:anchorId="000FA957" wp14:editId="73E01976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95885</wp:posOffset>
                  </wp:positionV>
                  <wp:extent cx="4317365" cy="3051810"/>
                  <wp:effectExtent l="0" t="0" r="0" b="0"/>
                  <wp:wrapTopAndBottom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305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4749B" w:rsidRPr="00060C2F" w:rsidRDefault="00A4749B" w:rsidP="00B95D52">
      <w:pPr>
        <w:rPr>
          <w:rFonts w:hint="eastAsia"/>
          <w:lang w:eastAsia="zh-CN"/>
        </w:rPr>
      </w:pPr>
    </w:p>
    <w:sectPr w:rsidR="00A4749B" w:rsidRPr="00060C2F">
      <w:pgSz w:w="11910" w:h="16840"/>
      <w:pgMar w:top="1440" w:right="1701" w:bottom="1440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00E" w:rsidRDefault="0094500E" w:rsidP="00060C2F">
      <w:r>
        <w:separator/>
      </w:r>
    </w:p>
  </w:endnote>
  <w:endnote w:type="continuationSeparator" w:id="0">
    <w:p w:rsidR="0094500E" w:rsidRDefault="0094500E" w:rsidP="0006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00E" w:rsidRDefault="0094500E" w:rsidP="00060C2F">
      <w:r>
        <w:separator/>
      </w:r>
    </w:p>
  </w:footnote>
  <w:footnote w:type="continuationSeparator" w:id="0">
    <w:p w:rsidR="0094500E" w:rsidRDefault="0094500E" w:rsidP="00060C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A4228"/>
    <w:multiLevelType w:val="hybridMultilevel"/>
    <w:tmpl w:val="1C5675AA"/>
    <w:lvl w:ilvl="0" w:tplc="804666F4">
      <w:start w:val="1"/>
      <w:numFmt w:val="decimal"/>
      <w:pStyle w:val="2"/>
      <w:lvlText w:val="%1."/>
      <w:lvlJc w:val="center"/>
      <w:pPr>
        <w:ind w:left="98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" w15:restartNumberingAfterBreak="0">
    <w:nsid w:val="2B632D86"/>
    <w:multiLevelType w:val="hybridMultilevel"/>
    <w:tmpl w:val="60D43D9A"/>
    <w:lvl w:ilvl="0" w:tplc="54DCE1E0">
      <w:start w:val="1"/>
      <w:numFmt w:val="decimal"/>
      <w:lvlText w:val="%1."/>
      <w:lvlJc w:val="center"/>
      <w:pPr>
        <w:ind w:left="357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996" w:hanging="420"/>
      </w:pPr>
    </w:lvl>
    <w:lvl w:ilvl="2" w:tplc="0409001B" w:tentative="1">
      <w:start w:val="1"/>
      <w:numFmt w:val="lowerRoman"/>
      <w:lvlText w:val="%3."/>
      <w:lvlJc w:val="right"/>
      <w:pPr>
        <w:ind w:left="4416" w:hanging="420"/>
      </w:pPr>
    </w:lvl>
    <w:lvl w:ilvl="3" w:tplc="0409000F" w:tentative="1">
      <w:start w:val="1"/>
      <w:numFmt w:val="decimal"/>
      <w:lvlText w:val="%4."/>
      <w:lvlJc w:val="left"/>
      <w:pPr>
        <w:ind w:left="4836" w:hanging="420"/>
      </w:pPr>
    </w:lvl>
    <w:lvl w:ilvl="4" w:tplc="04090019" w:tentative="1">
      <w:start w:val="1"/>
      <w:numFmt w:val="lowerLetter"/>
      <w:lvlText w:val="%5)"/>
      <w:lvlJc w:val="left"/>
      <w:pPr>
        <w:ind w:left="5256" w:hanging="420"/>
      </w:pPr>
    </w:lvl>
    <w:lvl w:ilvl="5" w:tplc="0409001B" w:tentative="1">
      <w:start w:val="1"/>
      <w:numFmt w:val="lowerRoman"/>
      <w:lvlText w:val="%6."/>
      <w:lvlJc w:val="right"/>
      <w:pPr>
        <w:ind w:left="5676" w:hanging="420"/>
      </w:pPr>
    </w:lvl>
    <w:lvl w:ilvl="6" w:tplc="0409000F" w:tentative="1">
      <w:start w:val="1"/>
      <w:numFmt w:val="decimal"/>
      <w:lvlText w:val="%7."/>
      <w:lvlJc w:val="left"/>
      <w:pPr>
        <w:ind w:left="6096" w:hanging="420"/>
      </w:pPr>
    </w:lvl>
    <w:lvl w:ilvl="7" w:tplc="04090019" w:tentative="1">
      <w:start w:val="1"/>
      <w:numFmt w:val="lowerLetter"/>
      <w:lvlText w:val="%8)"/>
      <w:lvlJc w:val="left"/>
      <w:pPr>
        <w:ind w:left="6516" w:hanging="420"/>
      </w:pPr>
    </w:lvl>
    <w:lvl w:ilvl="8" w:tplc="0409001B" w:tentative="1">
      <w:start w:val="1"/>
      <w:numFmt w:val="lowerRoman"/>
      <w:lvlText w:val="%9."/>
      <w:lvlJc w:val="right"/>
      <w:pPr>
        <w:ind w:left="6936" w:hanging="420"/>
      </w:pPr>
    </w:lvl>
  </w:abstractNum>
  <w:abstractNum w:abstractNumId="2" w15:restartNumberingAfterBreak="0">
    <w:nsid w:val="61177469"/>
    <w:multiLevelType w:val="hybridMultilevel"/>
    <w:tmpl w:val="57C2163A"/>
    <w:lvl w:ilvl="0" w:tplc="5FCA5EF6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6FEA4149"/>
    <w:multiLevelType w:val="hybridMultilevel"/>
    <w:tmpl w:val="F6D4EBA4"/>
    <w:lvl w:ilvl="0" w:tplc="7FA4554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 w15:restartNumberingAfterBreak="0">
    <w:nsid w:val="7E902652"/>
    <w:multiLevelType w:val="hybridMultilevel"/>
    <w:tmpl w:val="B3B83634"/>
    <w:lvl w:ilvl="0" w:tplc="54DCE1E0">
      <w:start w:val="1"/>
      <w:numFmt w:val="decimal"/>
      <w:lvlText w:val="%1."/>
      <w:lvlJc w:val="center"/>
      <w:pPr>
        <w:ind w:left="98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</w:num>
  <w:num w:numId="9">
    <w:abstractNumId w:val="1"/>
  </w:num>
  <w:num w:numId="10">
    <w:abstractNumId w:val="0"/>
  </w:num>
  <w:num w:numId="11">
    <w:abstractNumId w:val="0"/>
  </w:num>
  <w:num w:numId="12">
    <w:abstractNumId w:val="0"/>
    <w:lvlOverride w:ilvl="0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0"/>
    <w:lvlOverride w:ilvl="0">
      <w:startOverride w:val="1"/>
    </w:lvlOverride>
  </w:num>
  <w:num w:numId="1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3AC7"/>
    <w:rsid w:val="00000BC4"/>
    <w:rsid w:val="00003B87"/>
    <w:rsid w:val="00060C2F"/>
    <w:rsid w:val="000876A4"/>
    <w:rsid w:val="000A3475"/>
    <w:rsid w:val="000D0A1F"/>
    <w:rsid w:val="000F4E69"/>
    <w:rsid w:val="00141B43"/>
    <w:rsid w:val="00144F53"/>
    <w:rsid w:val="001A0135"/>
    <w:rsid w:val="001B44A1"/>
    <w:rsid w:val="001C00DB"/>
    <w:rsid w:val="001D5EE2"/>
    <w:rsid w:val="001F2051"/>
    <w:rsid w:val="002116B9"/>
    <w:rsid w:val="00245009"/>
    <w:rsid w:val="0029519F"/>
    <w:rsid w:val="00296942"/>
    <w:rsid w:val="002E7403"/>
    <w:rsid w:val="00352500"/>
    <w:rsid w:val="00364F99"/>
    <w:rsid w:val="003A065F"/>
    <w:rsid w:val="003E1E98"/>
    <w:rsid w:val="005D5458"/>
    <w:rsid w:val="005E5087"/>
    <w:rsid w:val="00664F9F"/>
    <w:rsid w:val="006D3E27"/>
    <w:rsid w:val="00732731"/>
    <w:rsid w:val="007512D2"/>
    <w:rsid w:val="0075541F"/>
    <w:rsid w:val="0077439D"/>
    <w:rsid w:val="007F118B"/>
    <w:rsid w:val="00887BD8"/>
    <w:rsid w:val="008C1FCE"/>
    <w:rsid w:val="008F5AC0"/>
    <w:rsid w:val="0094500E"/>
    <w:rsid w:val="00946923"/>
    <w:rsid w:val="00971033"/>
    <w:rsid w:val="00977ECB"/>
    <w:rsid w:val="00A00172"/>
    <w:rsid w:val="00A4749B"/>
    <w:rsid w:val="00A52EE1"/>
    <w:rsid w:val="00B901FC"/>
    <w:rsid w:val="00B95D52"/>
    <w:rsid w:val="00B95F71"/>
    <w:rsid w:val="00BA7CB0"/>
    <w:rsid w:val="00C33A68"/>
    <w:rsid w:val="00C4354A"/>
    <w:rsid w:val="00C5067B"/>
    <w:rsid w:val="00C84F09"/>
    <w:rsid w:val="00C967C7"/>
    <w:rsid w:val="00CD3AC7"/>
    <w:rsid w:val="00DA0433"/>
    <w:rsid w:val="00DA33FF"/>
    <w:rsid w:val="00DE28F3"/>
    <w:rsid w:val="00E057F2"/>
    <w:rsid w:val="00E45C10"/>
    <w:rsid w:val="00E63E2C"/>
    <w:rsid w:val="00E64DD8"/>
    <w:rsid w:val="00F014CF"/>
    <w:rsid w:val="00F52F47"/>
    <w:rsid w:val="00F83120"/>
    <w:rsid w:val="091F2D9D"/>
    <w:rsid w:val="2C8303D5"/>
    <w:rsid w:val="2CA156F3"/>
    <w:rsid w:val="30D51AC4"/>
    <w:rsid w:val="44184095"/>
    <w:rsid w:val="493C25D4"/>
    <w:rsid w:val="520143BB"/>
    <w:rsid w:val="567D1155"/>
    <w:rsid w:val="5F8D54E0"/>
    <w:rsid w:val="706E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FD8058"/>
  <w15:docId w15:val="{D562CC68-0C63-4C03-859D-193F89AC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5D52"/>
    <w:pPr>
      <w:widowControl w:val="0"/>
      <w:autoSpaceDE w:val="0"/>
      <w:autoSpaceDN w:val="0"/>
    </w:pPr>
    <w:rPr>
      <w:rFonts w:ascii="仿宋_GB2312" w:eastAsia="仿宋_GB2312" w:hAnsi="仿宋_GB2312" w:cs="仿宋_GB2312"/>
      <w:sz w:val="22"/>
      <w:szCs w:val="22"/>
      <w:lang w:eastAsia="en-US"/>
    </w:rPr>
  </w:style>
  <w:style w:type="paragraph" w:styleId="1">
    <w:name w:val="heading 1"/>
    <w:basedOn w:val="a"/>
    <w:link w:val="10"/>
    <w:autoRedefine/>
    <w:uiPriority w:val="9"/>
    <w:qFormat/>
    <w:pPr>
      <w:spacing w:before="100" w:line="360" w:lineRule="auto"/>
      <w:ind w:left="567"/>
      <w:outlineLvl w:val="0"/>
    </w:pPr>
    <w:rPr>
      <w:b/>
      <w:bCs/>
      <w:sz w:val="30"/>
      <w:szCs w:val="30"/>
      <w:lang w:eastAsia="zh-CN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95D52"/>
    <w:pPr>
      <w:keepNext/>
      <w:keepLines/>
      <w:numPr>
        <w:numId w:val="6"/>
      </w:numPr>
      <w:spacing w:line="360" w:lineRule="auto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1"/>
    <w:qFormat/>
    <w:pPr>
      <w:spacing w:line="360" w:lineRule="auto"/>
      <w:ind w:firstLineChars="200" w:firstLine="529"/>
      <w:jc w:val="both"/>
    </w:pPr>
    <w:rPr>
      <w:w w:val="95"/>
      <w:sz w:val="28"/>
      <w:szCs w:val="30"/>
      <w:lang w:eastAsia="zh-CN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Title"/>
    <w:basedOn w:val="a"/>
    <w:uiPriority w:val="10"/>
    <w:qFormat/>
    <w:pPr>
      <w:spacing w:before="22"/>
      <w:ind w:left="3649" w:right="769" w:hanging="3360"/>
    </w:pPr>
    <w:rPr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spacing w:before="4"/>
      <w:ind w:left="1569" w:hanging="750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宋体" w:eastAsia="宋体" w:hAnsi="宋体" w:cs="宋体"/>
    </w:rPr>
  </w:style>
  <w:style w:type="character" w:customStyle="1" w:styleId="a8">
    <w:name w:val="页眉 字符"/>
    <w:basedOn w:val="a0"/>
    <w:link w:val="a7"/>
    <w:uiPriority w:val="99"/>
    <w:qFormat/>
    <w:rPr>
      <w:rFonts w:ascii="仿宋_GB2312" w:eastAsia="仿宋_GB2312" w:hAnsi="仿宋_GB2312" w:cs="仿宋_GB231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仿宋_GB2312" w:eastAsia="仿宋_GB2312" w:hAnsi="仿宋_GB2312" w:cs="仿宋_GB2312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仿宋_GB2312" w:eastAsia="仿宋_GB2312" w:hAnsi="仿宋_GB2312" w:cs="仿宋_GB2312"/>
      <w:w w:val="95"/>
      <w:sz w:val="28"/>
      <w:szCs w:val="30"/>
      <w:lang w:eastAsia="zh-CN"/>
    </w:rPr>
  </w:style>
  <w:style w:type="character" w:customStyle="1" w:styleId="20">
    <w:name w:val="标题 2 字符"/>
    <w:basedOn w:val="a0"/>
    <w:link w:val="2"/>
    <w:uiPriority w:val="9"/>
    <w:qFormat/>
    <w:rsid w:val="00B95D52"/>
    <w:rPr>
      <w:rFonts w:asciiTheme="majorHAnsi" w:eastAsia="仿宋_GB2312" w:hAnsiTheme="majorHAnsi" w:cstheme="majorBidi"/>
      <w:b/>
      <w:bCs/>
      <w:sz w:val="28"/>
      <w:szCs w:val="32"/>
      <w:lang w:eastAsia="en-US"/>
    </w:rPr>
  </w:style>
  <w:style w:type="table" w:styleId="ab">
    <w:name w:val="Table Grid"/>
    <w:basedOn w:val="a1"/>
    <w:uiPriority w:val="39"/>
    <w:rsid w:val="00B95D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B95D52"/>
    <w:rPr>
      <w:rFonts w:ascii="仿宋_GB2312" w:eastAsia="仿宋_GB2312" w:hAnsi="仿宋_GB2312" w:cs="仿宋_GB2312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4964a360-4c84-4c7e-a2c7-812158d7e310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17A06C00</paraID>
      <start>19</start>
      <end>20</end>
      <status>modified</status>
      <modifiedWord>—</modifiedWord>
      <trackRevisions>false</trackRevisions>
    </reviewItem>
    <reviewItem>
      <errorID>56ab9bd5-6913-4cd5-9cd3-62ce6558d706</errorID>
      <errorWord>中共中央国务院</errorWord>
      <group>L1_Political</group>
      <groupName>政治性问题</groupName>
      <ability>L2_Keyword</ability>
      <abilityName>固定表述</abilityName>
      <candidateList>
        <item>中共中央、国务院</item>
      </candidateList>
      <explain>注意检查当前固定表述标点是否使用规范。</explain>
      <paraID>339F8C6E</paraID>
      <start>3</start>
      <end>11</end>
      <status>modified</status>
      <modifiedWord>中共中央、国务院</modifiedWord>
      <trackRevisions>false</trackRevisions>
    </reviewItem>
    <reviewItem>
      <errorID>22925c9e-cc84-4210-b653-713bfb9928a2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339F8C6E</paraID>
      <start>24</start>
      <end>26</end>
      <status>modified</status>
      <modifiedWord>》《</modifiedWord>
      <trackRevisions>false</trackRevisions>
    </reviewItem>
    <reviewItem>
      <errorID>6fac039f-952b-46eb-8378-237396256ebe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339F8C6E</paraID>
      <start>39</start>
      <end>40</end>
      <status>modified</status>
      <modifiedWord>—</modifiedWord>
      <trackRevisions>false</trackRevisions>
    </reviewItem>
    <reviewItem>
      <errorID>7f984e7b-8aae-43f3-8088-97142f189215</errorID>
      <errorWord>，</errorWord>
      <group>L1_Word</group>
      <groupName>字词问题</groupName>
      <ability>L2_Typo</ability>
      <abilityName>字词错误</abilityName>
      <candidateList>
        <item>，有</item>
      </candidateList>
      <explain/>
      <paraID>339F8C6E</paraID>
      <start>153</start>
      <end>155</end>
      <status>modified</status>
      <modifiedWord>，有</modifiedWord>
      <trackRevisions>false</trackRevisions>
    </reviewItem>
    <reviewItem>
      <errorID>6a9f6142-b7af-4b0c-be9a-24a28a94e2ed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339F8C6E</paraID>
      <start>205</start>
      <end>206</end>
      <status>modified</status>
      <modifiedWord>—</modifiedWord>
      <trackRevisions>false</trackRevisions>
    </reviewItem>
    <reviewItem>
      <errorID>b4269eb3-79e3-4b3f-ada5-1845c30ce13d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6A60F3DE</paraID>
      <start>0</start>
      <end>2</end>
      <status>modified</status>
      <modifiedWord>1.</modifiedWord>
      <trackRevisions>false</trackRevisions>
    </reviewItem>
    <reviewItem>
      <errorID>10239d45-e73d-4b7a-9839-fb124c6b9ee1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57A08E1B</paraID>
      <start>0</start>
      <end>2</end>
      <status>modified</status>
      <modifiedWord>2.</modifiedWord>
      <trackRevisions>false</trackRevisions>
    </reviewItem>
    <reviewItem>
      <errorID>f8232e68-4acb-44c6-80de-d0f0804fe9c0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469D1EBF</paraID>
      <start>0</start>
      <end>2</end>
      <status>modified</status>
      <modifiedWord>1.</modifiedWord>
      <trackRevisions>false</trackRevisions>
    </reviewItem>
    <reviewItem>
      <errorID>58bb64aa-4711-4b96-a7c5-8991c2b8a3c9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1B20B098</paraID>
      <start>0</start>
      <end>2</end>
      <status>modified</status>
      <modifiedWord>2.</modifiedWord>
      <trackRevisions>false</trackRevisions>
    </reviewItem>
    <reviewItem>
      <errorID>14d09be1-b1c1-4d1b-959b-e9c07f7a8be2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64A3EEB3</paraID>
      <start>0</start>
      <end>2</end>
      <status>modified</status>
      <modifiedWord>3.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09CECFC8-81FF-4FCC-9CF5-D41897F91F58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8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</dc:title>
  <dc:creator>Berg</dc:creator>
  <cp:lastModifiedBy>PC</cp:lastModifiedBy>
  <cp:revision>78</cp:revision>
  <cp:lastPrinted>2025-08-06T02:51:00Z</cp:lastPrinted>
  <dcterms:created xsi:type="dcterms:W3CDTF">2025-08-06T01:22:00Z</dcterms:created>
  <dcterms:modified xsi:type="dcterms:W3CDTF">2026-02-03T09:37:00Z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2025-08-06T00:00:00Z</vt:filetime>
  </property>
  <property fmtid="{D5CDD505-2E9C-101B-9397-08002B2CF9AE}" pid="5" name="KSOTemplateDocerSaveRecord">
    <vt:lpwstr>eyJoZGlkIjoiNDRhOGM5MDNlNTFmZDBmZDA1OTg4NTM2NzFkM2RkOTkiLCJ1c2VySWQiOiIyODQ1MzU3MjYifQ==</vt:lpwstr>
  </property>
  <property fmtid="{D5CDD505-2E9C-101B-9397-08002B2CF9AE}" pid="6" name="KSOProductBuildVer">
    <vt:lpwstr>2052-12.1.0.24657</vt:lpwstr>
  </property>
  <property fmtid="{D5CDD505-2E9C-101B-9397-08002B2CF9AE}" pid="7" name="ICV">
    <vt:lpwstr>345AF81B57484053970585CF4580EC2E_12</vt:lpwstr>
  </property>
</Properties>
</file>