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黑体" w:hAnsi="黑体" w:eastAsia="黑体" w:cs="仿宋_GB2312"/>
          <w:b/>
          <w:sz w:val="32"/>
          <w:szCs w:val="32"/>
          <w:highlight w:val="none"/>
        </w:rPr>
      </w:pPr>
      <w:r>
        <w:rPr>
          <w:rFonts w:hint="eastAsia" w:ascii="黑体" w:hAnsi="黑体" w:eastAsia="黑体" w:cs="仿宋_GB2312"/>
          <w:b/>
          <w:sz w:val="36"/>
          <w:szCs w:val="32"/>
          <w:highlight w:val="none"/>
        </w:rPr>
        <w:t>《福州现代物流城民天片区及丹枫大道周边用地控制性详细规划修编》公示稿</w:t>
      </w:r>
    </w:p>
    <w:p>
      <w:pPr>
        <w:ind w:firstLine="562" w:firstLineChars="200"/>
        <w:rPr>
          <w:rFonts w:ascii="黑体" w:hAnsi="黑体" w:eastAsia="黑体" w:cs="仿宋_GB2312"/>
          <w:b/>
          <w:sz w:val="28"/>
          <w:szCs w:val="32"/>
          <w:highlight w:val="none"/>
        </w:rPr>
      </w:pPr>
    </w:p>
    <w:p>
      <w:pPr>
        <w:spacing w:line="560" w:lineRule="exact"/>
        <w:ind w:firstLine="640" w:firstLineChars="200"/>
        <w:outlineLvl w:val="0"/>
        <w:rPr>
          <w:rFonts w:ascii="黑体" w:hAnsi="黑体" w:eastAsia="黑体" w:cs="仿宋_GB2312"/>
          <w:bCs/>
          <w:sz w:val="32"/>
          <w:szCs w:val="36"/>
          <w:highlight w:val="none"/>
        </w:rPr>
      </w:pPr>
      <w:r>
        <w:rPr>
          <w:rFonts w:hint="eastAsia" w:ascii="黑体" w:hAnsi="黑体" w:eastAsia="黑体" w:cs="仿宋_GB2312"/>
          <w:bCs/>
          <w:sz w:val="32"/>
          <w:szCs w:val="36"/>
          <w:highlight w:val="none"/>
        </w:rPr>
        <w:t>一</w:t>
      </w:r>
      <w:r>
        <w:rPr>
          <w:rFonts w:ascii="黑体" w:hAnsi="黑体" w:eastAsia="黑体" w:cs="仿宋_GB2312"/>
          <w:bCs/>
          <w:sz w:val="32"/>
          <w:szCs w:val="36"/>
          <w:highlight w:val="none"/>
        </w:rPr>
        <w:t>、区位</w:t>
      </w:r>
      <w:r>
        <w:rPr>
          <w:rFonts w:hint="eastAsia" w:ascii="黑体" w:hAnsi="黑体" w:eastAsia="黑体" w:cs="仿宋_GB2312"/>
          <w:bCs/>
          <w:sz w:val="32"/>
          <w:szCs w:val="36"/>
          <w:highlight w:val="none"/>
        </w:rPr>
        <w:t>与</w:t>
      </w:r>
      <w:r>
        <w:rPr>
          <w:rFonts w:ascii="黑体" w:hAnsi="黑体" w:eastAsia="黑体" w:cs="仿宋_GB2312"/>
          <w:bCs/>
          <w:sz w:val="32"/>
          <w:szCs w:val="36"/>
          <w:highlight w:val="none"/>
        </w:rPr>
        <w:t>规划范围</w:t>
      </w:r>
    </w:p>
    <w:p>
      <w:pPr>
        <w:tabs>
          <w:tab w:val="left" w:pos="-356"/>
        </w:tabs>
        <w:adjustRightInd w:val="0"/>
        <w:snapToGrid w:val="0"/>
        <w:spacing w:line="560" w:lineRule="exact"/>
        <w:ind w:firstLine="640" w:firstLineChars="200"/>
        <w:rPr>
          <w:rFonts w:ascii="仿宋" w:hAnsi="仿宋" w:eastAsia="仿宋"/>
          <w:sz w:val="32"/>
          <w:szCs w:val="36"/>
          <w:highlight w:val="none"/>
        </w:rPr>
      </w:pPr>
      <w:r>
        <w:rPr>
          <w:rFonts w:hint="eastAsia" w:ascii="仿宋" w:hAnsi="仿宋" w:eastAsia="仿宋"/>
          <w:sz w:val="32"/>
          <w:szCs w:val="36"/>
          <w:highlight w:val="none"/>
        </w:rPr>
        <w:t>福州现代物流城位于福州市连江县丹阳镇西南部，东距罗源湾港区约35公里、西距福州主城35公里、南距连江城区10公里，北距宁德城区45公里。东向通过丹阳互通接沈海高速,西临尖峰山，南向通过飞石互通接福州绕城高速,北部紧邻丹阳镇区。</w:t>
      </w:r>
    </w:p>
    <w:p>
      <w:pPr>
        <w:adjustRightInd w:val="0"/>
        <w:snapToGrid w:val="0"/>
        <w:spacing w:line="560" w:lineRule="exact"/>
        <w:ind w:firstLine="640" w:firstLineChars="200"/>
        <w:rPr>
          <w:rFonts w:hint="eastAsia" w:ascii="仿宋" w:hAnsi="仿宋" w:eastAsia="仿宋"/>
          <w:sz w:val="32"/>
          <w:szCs w:val="36"/>
          <w:highlight w:val="none"/>
        </w:rPr>
      </w:pPr>
      <w:r>
        <w:rPr>
          <w:rFonts w:hint="eastAsia" w:ascii="仿宋" w:hAnsi="仿宋" w:eastAsia="仿宋"/>
          <w:sz w:val="32"/>
          <w:szCs w:val="36"/>
          <w:highlight w:val="none"/>
        </w:rPr>
        <w:t>本次控制性详细规划修编范围</w:t>
      </w:r>
      <w:r>
        <w:rPr>
          <w:rFonts w:hint="eastAsia" w:ascii="仿宋" w:hAnsi="仿宋" w:eastAsia="仿宋"/>
          <w:sz w:val="32"/>
          <w:szCs w:val="36"/>
          <w:highlight w:val="none"/>
          <w:lang w:val="en-US" w:eastAsia="zh-CN"/>
        </w:rPr>
        <w:t>涉及</w:t>
      </w:r>
      <w:r>
        <w:rPr>
          <w:rFonts w:hint="eastAsia" w:ascii="仿宋" w:hAnsi="仿宋" w:eastAsia="仿宋"/>
          <w:sz w:val="32"/>
          <w:szCs w:val="36"/>
          <w:highlight w:val="none"/>
        </w:rPr>
        <w:t>《福州现代物流城控制性详细规划》（202</w:t>
      </w:r>
      <w:r>
        <w:rPr>
          <w:rFonts w:hint="default" w:ascii="仿宋" w:hAnsi="仿宋" w:eastAsia="仿宋"/>
          <w:sz w:val="32"/>
          <w:szCs w:val="36"/>
          <w:highlight w:val="none"/>
          <w:lang w:val="en-US"/>
        </w:rPr>
        <w:t>1</w:t>
      </w:r>
      <w:r>
        <w:rPr>
          <w:rFonts w:hint="eastAsia" w:ascii="仿宋" w:hAnsi="仿宋" w:eastAsia="仿宋"/>
          <w:sz w:val="32"/>
          <w:szCs w:val="36"/>
          <w:highlight w:val="none"/>
        </w:rPr>
        <w:t>年</w:t>
      </w:r>
      <w:r>
        <w:rPr>
          <w:rFonts w:hint="eastAsia" w:ascii="仿宋" w:hAnsi="仿宋" w:eastAsia="仿宋"/>
          <w:sz w:val="32"/>
          <w:szCs w:val="36"/>
          <w:highlight w:val="none"/>
          <w:lang w:val="en-US" w:eastAsia="zh-CN"/>
        </w:rPr>
        <w:t>批复</w:t>
      </w:r>
      <w:r>
        <w:rPr>
          <w:rFonts w:hint="eastAsia" w:ascii="仿宋" w:hAnsi="仿宋" w:eastAsia="仿宋"/>
          <w:sz w:val="32"/>
          <w:szCs w:val="36"/>
          <w:highlight w:val="none"/>
        </w:rPr>
        <w:t>）</w:t>
      </w:r>
      <w:r>
        <w:rPr>
          <w:rFonts w:hint="eastAsia" w:ascii="仿宋" w:hAnsi="仿宋" w:eastAsia="仿宋"/>
          <w:sz w:val="32"/>
          <w:szCs w:val="36"/>
          <w:highlight w:val="none"/>
          <w:lang w:val="en-US" w:eastAsia="zh-CN"/>
        </w:rPr>
        <w:t>中的B、C、D三个单元</w:t>
      </w:r>
      <w:r>
        <w:rPr>
          <w:rFonts w:hint="eastAsia" w:ascii="仿宋" w:hAnsi="仿宋" w:eastAsia="仿宋"/>
          <w:sz w:val="32"/>
          <w:szCs w:val="36"/>
          <w:highlight w:val="none"/>
          <w:lang w:eastAsia="zh-CN"/>
        </w:rPr>
        <w:t>，</w:t>
      </w:r>
      <w:r>
        <w:rPr>
          <w:rFonts w:hint="eastAsia" w:ascii="仿宋" w:hAnsi="仿宋" w:eastAsia="仿宋"/>
          <w:sz w:val="32"/>
          <w:szCs w:val="36"/>
          <w:highlight w:val="none"/>
        </w:rPr>
        <w:t>总用地面积</w:t>
      </w:r>
      <w:r>
        <w:rPr>
          <w:rFonts w:hint="eastAsia" w:ascii="仿宋" w:hAnsi="仿宋" w:eastAsia="仿宋"/>
          <w:sz w:val="32"/>
          <w:szCs w:val="36"/>
          <w:highlight w:val="none"/>
          <w:lang w:val="en-US" w:eastAsia="zh-CN"/>
        </w:rPr>
        <w:t>887.26公顷</w:t>
      </w:r>
      <w:r>
        <w:rPr>
          <w:rFonts w:hint="eastAsia" w:ascii="仿宋" w:hAnsi="仿宋" w:eastAsia="仿宋"/>
          <w:sz w:val="32"/>
          <w:szCs w:val="36"/>
          <w:highlight w:val="none"/>
        </w:rPr>
        <w:t>。</w:t>
      </w:r>
    </w:p>
    <w:p>
      <w:pPr>
        <w:spacing w:line="560" w:lineRule="exact"/>
        <w:ind w:firstLine="640" w:firstLineChars="200"/>
        <w:outlineLvl w:val="0"/>
        <w:rPr>
          <w:rFonts w:ascii="黑体" w:hAnsi="黑体" w:eastAsia="黑体" w:cs="仿宋_GB2312"/>
          <w:bCs/>
          <w:sz w:val="32"/>
          <w:szCs w:val="36"/>
          <w:highlight w:val="none"/>
        </w:rPr>
      </w:pPr>
      <w:r>
        <w:rPr>
          <w:rFonts w:hint="eastAsia" w:ascii="黑体" w:hAnsi="黑体" w:eastAsia="黑体" w:cs="仿宋_GB2312"/>
          <w:bCs/>
          <w:sz w:val="32"/>
          <w:szCs w:val="36"/>
          <w:highlight w:val="none"/>
        </w:rPr>
        <w:t>二</w:t>
      </w:r>
      <w:r>
        <w:rPr>
          <w:rFonts w:ascii="黑体" w:hAnsi="黑体" w:eastAsia="黑体" w:cs="仿宋_GB2312"/>
          <w:bCs/>
          <w:sz w:val="32"/>
          <w:szCs w:val="36"/>
          <w:highlight w:val="none"/>
        </w:rPr>
        <w:t>、功能定位</w:t>
      </w:r>
      <w:r>
        <w:rPr>
          <w:rFonts w:hint="eastAsia" w:ascii="黑体" w:hAnsi="黑体" w:eastAsia="黑体" w:cs="仿宋_GB2312"/>
          <w:bCs/>
          <w:sz w:val="32"/>
          <w:szCs w:val="36"/>
          <w:highlight w:val="none"/>
        </w:rPr>
        <w:t>和目标</w:t>
      </w:r>
    </w:p>
    <w:p>
      <w:pPr>
        <w:tabs>
          <w:tab w:val="left" w:pos="-356"/>
        </w:tabs>
        <w:adjustRightInd w:val="0"/>
        <w:snapToGrid w:val="0"/>
        <w:spacing w:line="560" w:lineRule="exact"/>
        <w:ind w:firstLine="640" w:firstLineChars="200"/>
        <w:rPr>
          <w:rFonts w:ascii="仿宋" w:hAnsi="仿宋" w:eastAsia="仿宋"/>
          <w:sz w:val="32"/>
          <w:szCs w:val="36"/>
          <w:highlight w:val="none"/>
        </w:rPr>
      </w:pPr>
      <w:r>
        <w:rPr>
          <w:rFonts w:hint="eastAsia" w:ascii="仿宋" w:hAnsi="仿宋" w:eastAsia="仿宋"/>
          <w:sz w:val="32"/>
          <w:szCs w:val="36"/>
          <w:highlight w:val="none"/>
        </w:rPr>
        <w:t>福州现代物流城定位为：以物流、制造、商贸为主导功能的现代产业新城。</w:t>
      </w:r>
    </w:p>
    <w:p>
      <w:pPr>
        <w:tabs>
          <w:tab w:val="left" w:pos="-356"/>
        </w:tabs>
        <w:adjustRightInd w:val="0"/>
        <w:snapToGrid w:val="0"/>
        <w:spacing w:line="560" w:lineRule="exact"/>
        <w:ind w:firstLine="640" w:firstLineChars="200"/>
        <w:rPr>
          <w:rFonts w:ascii="仿宋" w:hAnsi="仿宋" w:eastAsia="仿宋"/>
          <w:sz w:val="32"/>
          <w:szCs w:val="36"/>
          <w:highlight w:val="none"/>
        </w:rPr>
      </w:pPr>
      <w:r>
        <w:rPr>
          <w:rFonts w:hint="eastAsia" w:ascii="仿宋" w:hAnsi="仿宋" w:eastAsia="仿宋"/>
          <w:sz w:val="32"/>
          <w:szCs w:val="36"/>
          <w:highlight w:val="none"/>
        </w:rPr>
        <w:t>福州现代物流城建设目标为：海丝国际物流通道门户，国家物流枢纽重要载体，东南区域物流集散中心，现代智慧物流示范样板。</w:t>
      </w:r>
    </w:p>
    <w:p>
      <w:pPr>
        <w:spacing w:line="560" w:lineRule="exact"/>
        <w:ind w:firstLine="640" w:firstLineChars="200"/>
        <w:outlineLvl w:val="0"/>
        <w:rPr>
          <w:rFonts w:ascii="黑体" w:hAnsi="黑体" w:eastAsia="黑体" w:cs="仿宋_GB2312"/>
          <w:bCs/>
          <w:sz w:val="32"/>
          <w:szCs w:val="36"/>
          <w:highlight w:val="none"/>
        </w:rPr>
      </w:pPr>
      <w:r>
        <w:rPr>
          <w:rFonts w:hint="eastAsia" w:ascii="黑体" w:hAnsi="黑体" w:eastAsia="黑体" w:cs="仿宋_GB2312"/>
          <w:bCs/>
          <w:sz w:val="32"/>
          <w:szCs w:val="36"/>
          <w:highlight w:val="none"/>
        </w:rPr>
        <w:t>三</w:t>
      </w:r>
      <w:r>
        <w:rPr>
          <w:rFonts w:ascii="黑体" w:hAnsi="黑体" w:eastAsia="黑体" w:cs="仿宋_GB2312"/>
          <w:bCs/>
          <w:sz w:val="32"/>
          <w:szCs w:val="36"/>
          <w:highlight w:val="none"/>
        </w:rPr>
        <w:t>、规模容量</w:t>
      </w:r>
      <w:bookmarkStart w:id="0" w:name="_GoBack"/>
      <w:bookmarkEnd w:id="0"/>
    </w:p>
    <w:p>
      <w:pPr>
        <w:adjustRightInd w:val="0"/>
        <w:snapToGrid w:val="0"/>
        <w:spacing w:line="560" w:lineRule="exact"/>
        <w:ind w:firstLine="640" w:firstLineChars="200"/>
        <w:rPr>
          <w:rFonts w:hint="eastAsia" w:ascii="仿宋" w:hAnsi="仿宋" w:eastAsia="仿宋"/>
          <w:sz w:val="32"/>
          <w:szCs w:val="36"/>
          <w:highlight w:val="none"/>
        </w:rPr>
      </w:pPr>
      <w:r>
        <w:rPr>
          <w:rFonts w:hint="eastAsia" w:ascii="仿宋" w:hAnsi="仿宋" w:eastAsia="仿宋"/>
          <w:sz w:val="32"/>
          <w:szCs w:val="36"/>
          <w:highlight w:val="none"/>
        </w:rPr>
        <w:t>本次控规修编总用地面积</w:t>
      </w:r>
      <w:r>
        <w:rPr>
          <w:rFonts w:hint="eastAsia" w:ascii="仿宋" w:hAnsi="仿宋" w:eastAsia="仿宋"/>
          <w:sz w:val="32"/>
          <w:szCs w:val="36"/>
          <w:highlight w:val="none"/>
          <w:lang w:val="en-US" w:eastAsia="zh-CN"/>
        </w:rPr>
        <w:t>887.26</w:t>
      </w:r>
      <w:r>
        <w:rPr>
          <w:rFonts w:hint="eastAsia" w:ascii="仿宋" w:hAnsi="仿宋" w:eastAsia="仿宋"/>
          <w:sz w:val="32"/>
          <w:szCs w:val="36"/>
          <w:highlight w:val="none"/>
        </w:rPr>
        <w:t>公顷，城乡建设用地</w:t>
      </w:r>
      <w:r>
        <w:rPr>
          <w:rFonts w:hint="eastAsia" w:ascii="仿宋" w:hAnsi="仿宋" w:eastAsia="仿宋"/>
          <w:sz w:val="32"/>
          <w:szCs w:val="36"/>
          <w:highlight w:val="none"/>
          <w:lang w:val="en-US" w:eastAsia="zh-CN"/>
        </w:rPr>
        <w:t>798.06</w:t>
      </w:r>
      <w:r>
        <w:rPr>
          <w:rFonts w:hint="eastAsia" w:ascii="仿宋" w:hAnsi="仿宋" w:eastAsia="仿宋"/>
          <w:sz w:val="32"/>
          <w:szCs w:val="36"/>
          <w:highlight w:val="none"/>
        </w:rPr>
        <w:t>公顷，城市建设用地面积</w:t>
      </w:r>
      <w:r>
        <w:rPr>
          <w:rFonts w:hint="eastAsia" w:ascii="仿宋" w:hAnsi="仿宋" w:eastAsia="仿宋"/>
          <w:sz w:val="32"/>
          <w:szCs w:val="36"/>
          <w:highlight w:val="none"/>
          <w:lang w:val="en-US" w:eastAsia="zh-CN"/>
        </w:rPr>
        <w:t>795.13</w:t>
      </w:r>
      <w:r>
        <w:rPr>
          <w:rFonts w:hint="eastAsia" w:ascii="仿宋" w:hAnsi="仿宋" w:eastAsia="仿宋"/>
          <w:sz w:val="32"/>
          <w:szCs w:val="36"/>
          <w:highlight w:val="none"/>
        </w:rPr>
        <w:t>公顷。规划常住人口</w:t>
      </w:r>
      <w:r>
        <w:rPr>
          <w:rFonts w:hint="eastAsia" w:ascii="仿宋" w:hAnsi="仿宋" w:eastAsia="仿宋"/>
          <w:sz w:val="32"/>
          <w:szCs w:val="36"/>
          <w:highlight w:val="none"/>
          <w:lang w:val="en-US" w:eastAsia="zh-CN"/>
        </w:rPr>
        <w:t>2.45</w:t>
      </w:r>
      <w:r>
        <w:rPr>
          <w:rFonts w:hint="eastAsia" w:ascii="仿宋" w:hAnsi="仿宋" w:eastAsia="仿宋"/>
          <w:sz w:val="32"/>
          <w:szCs w:val="36"/>
          <w:highlight w:val="none"/>
        </w:rPr>
        <w:t>万人，其中：村庄常住人口约</w:t>
      </w:r>
      <w:r>
        <w:rPr>
          <w:rFonts w:hint="eastAsia" w:ascii="仿宋" w:hAnsi="仿宋" w:eastAsia="仿宋"/>
          <w:sz w:val="32"/>
          <w:szCs w:val="36"/>
          <w:highlight w:val="none"/>
          <w:lang w:val="en-US" w:eastAsia="zh-CN"/>
        </w:rPr>
        <w:t>0.49</w:t>
      </w:r>
      <w:r>
        <w:rPr>
          <w:rFonts w:hint="eastAsia" w:ascii="仿宋" w:hAnsi="仿宋" w:eastAsia="仿宋"/>
          <w:sz w:val="32"/>
          <w:szCs w:val="36"/>
          <w:highlight w:val="none"/>
        </w:rPr>
        <w:t>万人，可容纳居住人口</w:t>
      </w:r>
      <w:r>
        <w:rPr>
          <w:rFonts w:hint="eastAsia" w:ascii="仿宋" w:hAnsi="仿宋" w:eastAsia="仿宋"/>
          <w:sz w:val="32"/>
          <w:szCs w:val="36"/>
          <w:highlight w:val="none"/>
          <w:lang w:val="en-US" w:eastAsia="zh-CN"/>
        </w:rPr>
        <w:t>1.96</w:t>
      </w:r>
      <w:r>
        <w:rPr>
          <w:rFonts w:hint="eastAsia" w:ascii="仿宋" w:hAnsi="仿宋" w:eastAsia="仿宋"/>
          <w:sz w:val="32"/>
          <w:szCs w:val="36"/>
          <w:highlight w:val="none"/>
        </w:rPr>
        <w:t>万人。</w:t>
      </w:r>
    </w:p>
    <w:p>
      <w:pPr>
        <w:spacing w:line="560" w:lineRule="exact"/>
        <w:ind w:firstLine="640" w:firstLineChars="200"/>
        <w:outlineLvl w:val="0"/>
        <w:rPr>
          <w:rFonts w:ascii="黑体" w:hAnsi="黑体" w:eastAsia="黑体" w:cs="仿宋_GB2312"/>
          <w:bCs/>
          <w:sz w:val="32"/>
          <w:szCs w:val="36"/>
          <w:highlight w:val="none"/>
        </w:rPr>
      </w:pPr>
      <w:r>
        <w:rPr>
          <w:rFonts w:hint="eastAsia" w:ascii="黑体" w:hAnsi="黑体" w:eastAsia="黑体" w:cs="仿宋_GB2312"/>
          <w:bCs/>
          <w:sz w:val="32"/>
          <w:szCs w:val="36"/>
          <w:highlight w:val="none"/>
        </w:rPr>
        <w:t>四</w:t>
      </w:r>
      <w:r>
        <w:rPr>
          <w:rFonts w:ascii="黑体" w:hAnsi="黑体" w:eastAsia="黑体" w:cs="仿宋_GB2312"/>
          <w:bCs/>
          <w:sz w:val="32"/>
          <w:szCs w:val="36"/>
          <w:highlight w:val="none"/>
        </w:rPr>
        <w:t>、</w:t>
      </w:r>
      <w:r>
        <w:rPr>
          <w:rFonts w:hint="eastAsia" w:ascii="黑体" w:hAnsi="黑体" w:eastAsia="黑体" w:cs="仿宋_GB2312"/>
          <w:bCs/>
          <w:sz w:val="32"/>
          <w:szCs w:val="36"/>
          <w:highlight w:val="none"/>
        </w:rPr>
        <w:t>用地布局</w:t>
      </w:r>
    </w:p>
    <w:p>
      <w:pPr>
        <w:adjustRightInd w:val="0"/>
        <w:snapToGrid w:val="0"/>
        <w:spacing w:line="560" w:lineRule="exact"/>
        <w:ind w:firstLine="640" w:firstLineChars="200"/>
        <w:rPr>
          <w:rFonts w:hint="eastAsia" w:ascii="仿宋" w:hAnsi="仿宋" w:eastAsia="仿宋"/>
          <w:sz w:val="32"/>
          <w:szCs w:val="36"/>
          <w:highlight w:val="none"/>
        </w:rPr>
      </w:pPr>
      <w:r>
        <w:rPr>
          <w:rFonts w:hint="eastAsia" w:ascii="仿宋" w:hAnsi="仿宋" w:eastAsia="仿宋"/>
          <w:sz w:val="32"/>
          <w:szCs w:val="36"/>
          <w:highlight w:val="none"/>
        </w:rPr>
        <w:t>总体形成“一带、一心、三组团”的空间布局结构。</w:t>
      </w:r>
    </w:p>
    <w:p>
      <w:pPr>
        <w:adjustRightInd w:val="0"/>
        <w:snapToGrid w:val="0"/>
        <w:spacing w:line="560" w:lineRule="exact"/>
        <w:ind w:firstLine="640" w:firstLineChars="200"/>
        <w:rPr>
          <w:rFonts w:hint="eastAsia" w:ascii="仿宋" w:hAnsi="仿宋" w:eastAsia="仿宋"/>
          <w:sz w:val="32"/>
          <w:szCs w:val="36"/>
          <w:highlight w:val="none"/>
        </w:rPr>
      </w:pPr>
      <w:r>
        <w:rPr>
          <w:rFonts w:hint="default" w:ascii="仿宋" w:hAnsi="仿宋" w:eastAsia="仿宋"/>
          <w:sz w:val="32"/>
          <w:szCs w:val="36"/>
          <w:highlight w:val="none"/>
        </w:rPr>
        <w:t>1</w:t>
      </w:r>
      <w:r>
        <w:rPr>
          <w:rFonts w:hint="eastAsia" w:ascii="仿宋" w:hAnsi="仿宋" w:eastAsia="仿宋"/>
          <w:sz w:val="32"/>
          <w:szCs w:val="36"/>
          <w:highlight w:val="none"/>
        </w:rPr>
        <w:t>、一带：牛溪生态综合服务带。</w:t>
      </w:r>
    </w:p>
    <w:p>
      <w:pPr>
        <w:adjustRightInd w:val="0"/>
        <w:snapToGrid w:val="0"/>
        <w:spacing w:line="560" w:lineRule="exact"/>
        <w:ind w:firstLine="640" w:firstLineChars="200"/>
        <w:rPr>
          <w:rFonts w:hint="eastAsia" w:ascii="仿宋" w:hAnsi="仿宋" w:eastAsia="仿宋"/>
          <w:sz w:val="32"/>
          <w:szCs w:val="36"/>
          <w:highlight w:val="none"/>
        </w:rPr>
      </w:pPr>
      <w:r>
        <w:rPr>
          <w:rFonts w:hint="default" w:ascii="仿宋" w:hAnsi="仿宋" w:eastAsia="仿宋"/>
          <w:sz w:val="32"/>
          <w:szCs w:val="36"/>
          <w:highlight w:val="none"/>
        </w:rPr>
        <w:t>2</w:t>
      </w:r>
      <w:r>
        <w:rPr>
          <w:rFonts w:hint="eastAsia" w:ascii="仿宋" w:hAnsi="仿宋" w:eastAsia="仿宋"/>
          <w:sz w:val="32"/>
          <w:szCs w:val="36"/>
          <w:highlight w:val="none"/>
        </w:rPr>
        <w:t>、一心：贤义河（鹅头溪）物流城公共管理与综合服务核心。</w:t>
      </w:r>
    </w:p>
    <w:p>
      <w:pPr>
        <w:adjustRightInd w:val="0"/>
        <w:snapToGrid w:val="0"/>
        <w:spacing w:line="560" w:lineRule="exact"/>
        <w:ind w:firstLine="640" w:firstLineChars="200"/>
        <w:rPr>
          <w:rFonts w:hint="eastAsia" w:ascii="仿宋" w:hAnsi="仿宋" w:eastAsia="仿宋"/>
          <w:sz w:val="32"/>
          <w:szCs w:val="36"/>
          <w:highlight w:val="none"/>
        </w:rPr>
      </w:pPr>
      <w:r>
        <w:rPr>
          <w:rFonts w:hint="default" w:ascii="仿宋" w:hAnsi="仿宋" w:eastAsia="仿宋"/>
          <w:sz w:val="32"/>
          <w:szCs w:val="36"/>
          <w:highlight w:val="none"/>
        </w:rPr>
        <w:t>3</w:t>
      </w:r>
      <w:r>
        <w:rPr>
          <w:rFonts w:hint="eastAsia" w:ascii="仿宋" w:hAnsi="仿宋" w:eastAsia="仿宋"/>
          <w:sz w:val="32"/>
          <w:szCs w:val="36"/>
          <w:highlight w:val="none"/>
        </w:rPr>
        <w:t>、三组团：北部先进制造组团、中部物流功能组团和南部商贸功能组团。</w:t>
      </w:r>
    </w:p>
    <w:p>
      <w:pPr>
        <w:adjustRightInd w:val="0"/>
        <w:snapToGrid w:val="0"/>
        <w:spacing w:line="560" w:lineRule="exact"/>
        <w:ind w:firstLine="640" w:firstLineChars="200"/>
        <w:rPr>
          <w:rFonts w:hint="eastAsia" w:ascii="仿宋" w:hAnsi="仿宋" w:eastAsia="仿宋"/>
          <w:sz w:val="32"/>
          <w:szCs w:val="36"/>
          <w:highlight w:val="none"/>
        </w:rPr>
      </w:pPr>
      <w:r>
        <w:rPr>
          <w:rFonts w:hint="eastAsia" w:ascii="仿宋" w:hAnsi="仿宋" w:eastAsia="仿宋"/>
          <w:sz w:val="32"/>
          <w:szCs w:val="36"/>
          <w:highlight w:val="none"/>
        </w:rPr>
        <w:t>北部先进制造组团：结合铁路货站及配套区的空间特征，以大型厂房为空间肌理，临水布局厂区配套办公和特色建筑。</w:t>
      </w:r>
    </w:p>
    <w:p>
      <w:pPr>
        <w:adjustRightInd w:val="0"/>
        <w:snapToGrid w:val="0"/>
        <w:spacing w:line="560" w:lineRule="exact"/>
        <w:ind w:firstLine="640" w:firstLineChars="200"/>
        <w:rPr>
          <w:rFonts w:hint="eastAsia" w:ascii="仿宋" w:hAnsi="仿宋" w:eastAsia="仿宋"/>
          <w:sz w:val="32"/>
          <w:szCs w:val="36"/>
          <w:highlight w:val="none"/>
        </w:rPr>
      </w:pPr>
      <w:r>
        <w:rPr>
          <w:rFonts w:hint="eastAsia" w:ascii="仿宋" w:hAnsi="仿宋" w:eastAsia="仿宋"/>
          <w:sz w:val="32"/>
          <w:szCs w:val="36"/>
          <w:highlight w:val="none"/>
        </w:rPr>
        <w:t>中部物流功能组团：沿铁路两侧结合铁路货站布局枢纽物流区、智慧物流园等。</w:t>
      </w:r>
    </w:p>
    <w:p>
      <w:pPr>
        <w:adjustRightInd w:val="0"/>
        <w:snapToGrid w:val="0"/>
        <w:spacing w:line="560" w:lineRule="exact"/>
        <w:ind w:firstLine="640" w:firstLineChars="200"/>
        <w:rPr>
          <w:rFonts w:hint="eastAsia" w:ascii="仿宋" w:hAnsi="仿宋" w:eastAsia="仿宋"/>
          <w:sz w:val="32"/>
          <w:szCs w:val="36"/>
          <w:highlight w:val="none"/>
        </w:rPr>
      </w:pPr>
      <w:r>
        <w:rPr>
          <w:rFonts w:hint="eastAsia" w:ascii="仿宋" w:hAnsi="仿宋" w:eastAsia="仿宋"/>
          <w:sz w:val="32"/>
          <w:szCs w:val="36"/>
          <w:highlight w:val="none"/>
        </w:rPr>
        <w:t>南部商贸功能组团：以物流城公共管理与综合服务核心为核心，突出城绿融合，外部布局物流市场及城市配送型生产企业，空间多元丰富。</w:t>
      </w:r>
    </w:p>
    <w:p>
      <w:pPr>
        <w:numPr>
          <w:ilvl w:val="0"/>
          <w:numId w:val="1"/>
        </w:numPr>
        <w:spacing w:line="560" w:lineRule="exact"/>
        <w:ind w:firstLine="640" w:firstLineChars="200"/>
        <w:outlineLvl w:val="0"/>
        <w:rPr>
          <w:rFonts w:hint="eastAsia" w:ascii="黑体" w:hAnsi="黑体" w:eastAsia="黑体" w:cs="仿宋_GB2312"/>
          <w:bCs/>
          <w:sz w:val="32"/>
          <w:szCs w:val="36"/>
          <w:highlight w:val="none"/>
        </w:rPr>
      </w:pPr>
      <w:r>
        <w:rPr>
          <w:rFonts w:hint="eastAsia" w:ascii="黑体" w:hAnsi="黑体" w:eastAsia="黑体" w:cs="仿宋_GB2312"/>
          <w:bCs/>
          <w:sz w:val="32"/>
          <w:szCs w:val="36"/>
          <w:highlight w:val="none"/>
        </w:rPr>
        <w:t>道路交通</w:t>
      </w:r>
    </w:p>
    <w:p>
      <w:pPr>
        <w:spacing w:line="560" w:lineRule="exact"/>
        <w:ind w:firstLine="640" w:firstLineChars="200"/>
        <w:rPr>
          <w:rFonts w:ascii="仿宋" w:hAnsi="仿宋" w:eastAsia="仿宋"/>
          <w:sz w:val="32"/>
          <w:szCs w:val="36"/>
          <w:highlight w:val="none"/>
        </w:rPr>
      </w:pPr>
      <w:r>
        <w:rPr>
          <w:rFonts w:hint="eastAsia" w:ascii="仿宋" w:hAnsi="仿宋" w:eastAsia="仿宋"/>
          <w:sz w:val="32"/>
          <w:szCs w:val="36"/>
          <w:highlight w:val="none"/>
        </w:rPr>
        <w:t>按照“内外分离、客货分流”的原则，规划整体形成以主干路为骨架，次干路、支路为补充的类方格网路网结构，构建高效便捷的交通体系。</w:t>
      </w:r>
    </w:p>
    <w:p>
      <w:pPr>
        <w:spacing w:line="560" w:lineRule="exact"/>
        <w:ind w:firstLine="640" w:firstLineChars="200"/>
        <w:rPr>
          <w:rFonts w:ascii="仿宋" w:hAnsi="仿宋" w:eastAsia="仿宋"/>
          <w:sz w:val="32"/>
          <w:szCs w:val="36"/>
          <w:highlight w:val="none"/>
        </w:rPr>
      </w:pPr>
      <w:r>
        <w:rPr>
          <w:rFonts w:hint="eastAsia" w:ascii="仿宋" w:hAnsi="仿宋" w:eastAsia="仿宋"/>
          <w:sz w:val="32"/>
          <w:szCs w:val="36"/>
          <w:highlight w:val="none"/>
        </w:rPr>
        <w:t>规划主干路总体呈“三纵六横”格局。“三纵”：</w:t>
      </w:r>
      <w:r>
        <w:rPr>
          <w:rFonts w:hint="eastAsia" w:ascii="仿宋" w:hAnsi="仿宋" w:eastAsia="仿宋"/>
          <w:sz w:val="32"/>
          <w:szCs w:val="36"/>
          <w:highlight w:val="none"/>
          <w:lang w:val="en-US" w:eastAsia="zh-CN"/>
        </w:rPr>
        <w:t>丹枫大道</w:t>
      </w:r>
      <w:r>
        <w:rPr>
          <w:rFonts w:hint="eastAsia" w:ascii="仿宋" w:hAnsi="仿宋" w:eastAsia="仿宋"/>
          <w:sz w:val="32"/>
          <w:szCs w:val="36"/>
          <w:highlight w:val="none"/>
        </w:rPr>
        <w:t>、牛溪大道、新1</w:t>
      </w:r>
      <w:r>
        <w:rPr>
          <w:rFonts w:ascii="仿宋" w:hAnsi="仿宋" w:eastAsia="仿宋"/>
          <w:sz w:val="32"/>
          <w:szCs w:val="36"/>
          <w:highlight w:val="none"/>
        </w:rPr>
        <w:t>04</w:t>
      </w:r>
      <w:r>
        <w:rPr>
          <w:rFonts w:hint="eastAsia" w:ascii="仿宋" w:hAnsi="仿宋" w:eastAsia="仿宋"/>
          <w:sz w:val="32"/>
          <w:szCs w:val="36"/>
          <w:highlight w:val="none"/>
        </w:rPr>
        <w:t>国道；“六横”：丹青路、朝阳大道、丹港大道、桂贤路、丹江大道、飞石连接线。</w:t>
      </w:r>
    </w:p>
    <w:p>
      <w:pPr>
        <w:spacing w:beforeLines="0" w:afterLines="0"/>
        <w:ind w:firstLine="640" w:firstLineChars="200"/>
        <w:jc w:val="left"/>
        <w:outlineLvl w:val="0"/>
        <w:rPr>
          <w:rFonts w:ascii="黑体" w:hAnsi="黑体" w:eastAsia="黑体" w:cs="仿宋_GB2312"/>
          <w:bCs/>
          <w:sz w:val="32"/>
          <w:szCs w:val="36"/>
          <w:highlight w:val="none"/>
        </w:rPr>
      </w:pPr>
      <w:r>
        <w:rPr>
          <w:rFonts w:hint="eastAsia" w:ascii="黑体" w:hAnsi="黑体" w:eastAsia="黑体" w:cs="仿宋_GB2312"/>
          <w:bCs/>
          <w:sz w:val="32"/>
          <w:szCs w:val="36"/>
          <w:highlight w:val="none"/>
        </w:rPr>
        <w:t>六</w:t>
      </w:r>
      <w:r>
        <w:rPr>
          <w:rFonts w:ascii="黑体" w:hAnsi="黑体" w:eastAsia="黑体" w:cs="仿宋_GB2312"/>
          <w:bCs/>
          <w:sz w:val="32"/>
          <w:szCs w:val="36"/>
          <w:highlight w:val="none"/>
        </w:rPr>
        <w:t>、三大设施</w:t>
      </w:r>
    </w:p>
    <w:p>
      <w:pPr>
        <w:adjustRightInd w:val="0"/>
        <w:snapToGrid w:val="0"/>
        <w:spacing w:line="560" w:lineRule="exact"/>
        <w:ind w:firstLine="640" w:firstLineChars="200"/>
        <w:outlineLvl w:val="1"/>
        <w:rPr>
          <w:rFonts w:ascii="仿宋" w:hAnsi="仿宋" w:eastAsia="仿宋"/>
          <w:sz w:val="32"/>
          <w:szCs w:val="36"/>
          <w:highlight w:val="none"/>
        </w:rPr>
      </w:pPr>
      <w:r>
        <w:rPr>
          <w:rFonts w:hint="eastAsia" w:ascii="仿宋" w:hAnsi="仿宋" w:eastAsia="仿宋"/>
          <w:sz w:val="32"/>
          <w:szCs w:val="36"/>
          <w:highlight w:val="none"/>
        </w:rPr>
        <w:t>1、</w:t>
      </w:r>
      <w:r>
        <w:rPr>
          <w:rFonts w:ascii="仿宋" w:hAnsi="仿宋" w:eastAsia="仿宋"/>
          <w:sz w:val="32"/>
          <w:szCs w:val="36"/>
          <w:highlight w:val="none"/>
        </w:rPr>
        <w:t>公共管理与公共服务设施</w:t>
      </w:r>
    </w:p>
    <w:p>
      <w:pPr>
        <w:adjustRightInd w:val="0"/>
        <w:snapToGrid w:val="0"/>
        <w:spacing w:line="560" w:lineRule="exact"/>
        <w:ind w:firstLine="640" w:firstLineChars="200"/>
        <w:rPr>
          <w:rFonts w:ascii="仿宋" w:hAnsi="仿宋" w:eastAsia="仿宋"/>
          <w:sz w:val="32"/>
          <w:szCs w:val="36"/>
          <w:highlight w:val="none"/>
        </w:rPr>
      </w:pPr>
      <w:r>
        <w:rPr>
          <w:rFonts w:hint="eastAsia" w:ascii="仿宋" w:hAnsi="仿宋" w:eastAsia="仿宋"/>
          <w:sz w:val="32"/>
          <w:szCs w:val="36"/>
          <w:highlight w:val="none"/>
        </w:rPr>
        <w:t>街道级以上设施：</w:t>
      </w:r>
      <w:r>
        <w:rPr>
          <w:rFonts w:hint="eastAsia" w:ascii="仿宋" w:hAnsi="仿宋" w:eastAsia="仿宋"/>
          <w:sz w:val="32"/>
          <w:szCs w:val="36"/>
          <w:highlight w:val="none"/>
          <w:lang w:eastAsia="zh-CN"/>
        </w:rPr>
        <w:t>文化设施</w:t>
      </w:r>
      <w:r>
        <w:rPr>
          <w:rFonts w:hint="eastAsia" w:ascii="仿宋" w:hAnsi="仿宋" w:eastAsia="仿宋"/>
          <w:sz w:val="32"/>
          <w:szCs w:val="36"/>
          <w:highlight w:val="none"/>
          <w:lang w:val="en-US" w:eastAsia="zh-CN"/>
        </w:rPr>
        <w:t>2</w:t>
      </w:r>
      <w:r>
        <w:rPr>
          <w:rFonts w:hint="eastAsia" w:ascii="仿宋" w:hAnsi="仿宋" w:eastAsia="仿宋"/>
          <w:sz w:val="32"/>
          <w:szCs w:val="36"/>
          <w:highlight w:val="none"/>
          <w:lang w:eastAsia="zh-CN"/>
        </w:rPr>
        <w:t>处</w:t>
      </w:r>
      <w:r>
        <w:rPr>
          <w:rFonts w:hint="eastAsia" w:ascii="仿宋" w:hAnsi="仿宋" w:eastAsia="仿宋"/>
          <w:sz w:val="32"/>
          <w:szCs w:val="36"/>
          <w:highlight w:val="none"/>
        </w:rPr>
        <w:t>。</w:t>
      </w:r>
    </w:p>
    <w:p>
      <w:pPr>
        <w:adjustRightInd w:val="0"/>
        <w:snapToGrid w:val="0"/>
        <w:spacing w:line="560" w:lineRule="exact"/>
        <w:ind w:firstLine="640" w:firstLineChars="200"/>
        <w:rPr>
          <w:rFonts w:ascii="仿宋" w:hAnsi="仿宋" w:eastAsia="仿宋"/>
          <w:sz w:val="32"/>
          <w:szCs w:val="36"/>
          <w:highlight w:val="none"/>
        </w:rPr>
      </w:pPr>
      <w:r>
        <w:rPr>
          <w:rFonts w:hint="eastAsia" w:ascii="仿宋" w:hAnsi="仿宋" w:eastAsia="仿宋"/>
          <w:sz w:val="32"/>
          <w:szCs w:val="36"/>
          <w:highlight w:val="none"/>
        </w:rPr>
        <w:t>街道级设施：医疗设施1处 ；教育设施</w:t>
      </w:r>
      <w:r>
        <w:rPr>
          <w:rFonts w:hint="eastAsia" w:ascii="仿宋" w:hAnsi="仿宋" w:eastAsia="仿宋"/>
          <w:sz w:val="32"/>
          <w:szCs w:val="36"/>
          <w:highlight w:val="none"/>
          <w:lang w:val="en-US" w:eastAsia="zh-CN"/>
        </w:rPr>
        <w:t>3</w:t>
      </w:r>
      <w:r>
        <w:rPr>
          <w:rFonts w:hint="eastAsia" w:ascii="仿宋" w:hAnsi="仿宋" w:eastAsia="仿宋"/>
          <w:sz w:val="32"/>
          <w:szCs w:val="36"/>
          <w:highlight w:val="none"/>
        </w:rPr>
        <w:t>处（</w:t>
      </w:r>
      <w:r>
        <w:rPr>
          <w:rFonts w:hint="eastAsia" w:ascii="仿宋" w:hAnsi="仿宋" w:eastAsia="仿宋"/>
          <w:sz w:val="32"/>
          <w:szCs w:val="36"/>
          <w:highlight w:val="none"/>
          <w:lang w:val="en-US" w:eastAsia="zh-CN"/>
        </w:rPr>
        <w:t>1</w:t>
      </w:r>
      <w:r>
        <w:rPr>
          <w:rFonts w:hint="eastAsia" w:ascii="仿宋" w:hAnsi="仿宋" w:eastAsia="仿宋"/>
          <w:sz w:val="32"/>
          <w:szCs w:val="36"/>
          <w:highlight w:val="none"/>
        </w:rPr>
        <w:t>所</w:t>
      </w:r>
      <w:r>
        <w:rPr>
          <w:rFonts w:hint="default" w:ascii="仿宋" w:hAnsi="仿宋" w:eastAsia="仿宋"/>
          <w:sz w:val="32"/>
          <w:szCs w:val="36"/>
          <w:highlight w:val="none"/>
          <w:lang w:val="en-US"/>
        </w:rPr>
        <w:t>4</w:t>
      </w:r>
      <w:r>
        <w:rPr>
          <w:rFonts w:hint="eastAsia" w:ascii="仿宋" w:hAnsi="仿宋" w:eastAsia="仿宋"/>
          <w:sz w:val="32"/>
          <w:szCs w:val="36"/>
          <w:highlight w:val="none"/>
          <w:lang w:val="en-US" w:eastAsia="zh-CN"/>
        </w:rPr>
        <w:t>8</w:t>
      </w:r>
      <w:r>
        <w:rPr>
          <w:rFonts w:hint="eastAsia" w:ascii="仿宋" w:hAnsi="仿宋" w:eastAsia="仿宋"/>
          <w:sz w:val="32"/>
          <w:szCs w:val="36"/>
          <w:highlight w:val="none"/>
        </w:rPr>
        <w:t>班小学、1所</w:t>
      </w:r>
      <w:r>
        <w:rPr>
          <w:rFonts w:hint="default" w:ascii="仿宋" w:hAnsi="仿宋" w:eastAsia="仿宋"/>
          <w:sz w:val="32"/>
          <w:szCs w:val="36"/>
          <w:highlight w:val="none"/>
          <w:lang w:val="en-US"/>
        </w:rPr>
        <w:t>42</w:t>
      </w:r>
      <w:r>
        <w:rPr>
          <w:rFonts w:hint="eastAsia" w:ascii="仿宋" w:hAnsi="仿宋" w:eastAsia="仿宋"/>
          <w:sz w:val="32"/>
          <w:szCs w:val="36"/>
          <w:highlight w:val="none"/>
        </w:rPr>
        <w:t>班初中</w:t>
      </w:r>
      <w:r>
        <w:rPr>
          <w:rFonts w:hint="eastAsia" w:ascii="仿宋" w:hAnsi="仿宋" w:eastAsia="仿宋"/>
          <w:sz w:val="32"/>
          <w:szCs w:val="36"/>
          <w:highlight w:val="none"/>
          <w:lang w:eastAsia="zh-CN"/>
        </w:rPr>
        <w:t>、1所</w:t>
      </w:r>
      <w:r>
        <w:rPr>
          <w:rFonts w:hint="eastAsia" w:ascii="仿宋" w:hAnsi="仿宋" w:eastAsia="仿宋"/>
          <w:sz w:val="32"/>
          <w:szCs w:val="36"/>
          <w:highlight w:val="none"/>
          <w:lang w:val="en-US" w:eastAsia="zh-CN"/>
        </w:rPr>
        <w:t>30</w:t>
      </w:r>
      <w:r>
        <w:rPr>
          <w:rFonts w:hint="eastAsia" w:ascii="仿宋" w:hAnsi="仿宋" w:eastAsia="仿宋"/>
          <w:sz w:val="32"/>
          <w:szCs w:val="36"/>
          <w:highlight w:val="none"/>
          <w:lang w:eastAsia="zh-CN"/>
        </w:rPr>
        <w:t>班高中</w:t>
      </w:r>
      <w:r>
        <w:rPr>
          <w:rFonts w:hint="eastAsia" w:ascii="仿宋" w:hAnsi="仿宋" w:eastAsia="仿宋"/>
          <w:sz w:val="32"/>
          <w:szCs w:val="36"/>
          <w:highlight w:val="none"/>
        </w:rPr>
        <w:t>）；体育设施1处；</w:t>
      </w:r>
      <w:r>
        <w:rPr>
          <w:rFonts w:hint="eastAsia" w:ascii="仿宋" w:hAnsi="仿宋" w:eastAsia="仿宋"/>
          <w:sz w:val="32"/>
          <w:szCs w:val="36"/>
          <w:highlight w:val="none"/>
          <w:lang w:val="en-US" w:eastAsia="zh-CN"/>
        </w:rPr>
        <w:t>养老设施</w:t>
      </w:r>
      <w:r>
        <w:rPr>
          <w:rFonts w:hint="default" w:ascii="仿宋" w:hAnsi="仿宋" w:eastAsia="仿宋"/>
          <w:sz w:val="32"/>
          <w:szCs w:val="36"/>
          <w:highlight w:val="none"/>
          <w:lang w:val="en-US" w:eastAsia="zh-CN"/>
        </w:rPr>
        <w:t>2</w:t>
      </w:r>
      <w:r>
        <w:rPr>
          <w:rFonts w:hint="eastAsia" w:ascii="仿宋" w:hAnsi="仿宋" w:eastAsia="仿宋"/>
          <w:sz w:val="32"/>
          <w:szCs w:val="36"/>
          <w:highlight w:val="none"/>
          <w:lang w:val="en-US" w:eastAsia="zh-CN"/>
        </w:rPr>
        <w:t>处；行政办公</w:t>
      </w:r>
      <w:r>
        <w:rPr>
          <w:rFonts w:hint="default" w:ascii="仿宋" w:hAnsi="仿宋" w:eastAsia="仿宋"/>
          <w:sz w:val="32"/>
          <w:szCs w:val="36"/>
          <w:highlight w:val="none"/>
          <w:lang w:val="en-US" w:eastAsia="zh-CN"/>
        </w:rPr>
        <w:t>2</w:t>
      </w:r>
      <w:r>
        <w:rPr>
          <w:rFonts w:hint="eastAsia" w:ascii="仿宋" w:hAnsi="仿宋" w:eastAsia="仿宋"/>
          <w:sz w:val="32"/>
          <w:szCs w:val="36"/>
          <w:highlight w:val="none"/>
        </w:rPr>
        <w:t>处；</w:t>
      </w:r>
      <w:r>
        <w:rPr>
          <w:rFonts w:hint="eastAsia" w:ascii="仿宋" w:hAnsi="仿宋" w:eastAsia="仿宋"/>
          <w:sz w:val="32"/>
          <w:szCs w:val="36"/>
          <w:highlight w:val="none"/>
          <w:lang w:val="en-US" w:eastAsia="zh-CN"/>
        </w:rPr>
        <w:t>社区商业1处；分区配送中心1处</w:t>
      </w:r>
      <w:r>
        <w:rPr>
          <w:rFonts w:hint="eastAsia" w:ascii="仿宋" w:hAnsi="仿宋" w:eastAsia="仿宋"/>
          <w:sz w:val="32"/>
          <w:szCs w:val="36"/>
          <w:highlight w:val="none"/>
        </w:rPr>
        <w:t>。</w:t>
      </w:r>
    </w:p>
    <w:p>
      <w:pPr>
        <w:spacing w:line="560" w:lineRule="exact"/>
        <w:ind w:firstLine="640" w:firstLineChars="200"/>
        <w:rPr>
          <w:rFonts w:hint="eastAsia" w:ascii="仿宋" w:hAnsi="仿宋" w:eastAsia="仿宋"/>
          <w:sz w:val="32"/>
          <w:szCs w:val="36"/>
          <w:highlight w:val="none"/>
          <w:lang w:val="en-US" w:eastAsia="zh-CN"/>
        </w:rPr>
      </w:pPr>
      <w:r>
        <w:rPr>
          <w:rFonts w:hint="eastAsia" w:ascii="仿宋" w:hAnsi="仿宋" w:eastAsia="仿宋"/>
          <w:sz w:val="32"/>
          <w:szCs w:val="36"/>
          <w:highlight w:val="none"/>
        </w:rPr>
        <w:t>社区级设施：幼儿园</w:t>
      </w:r>
      <w:r>
        <w:rPr>
          <w:rFonts w:hint="eastAsia" w:ascii="仿宋" w:hAnsi="仿宋" w:eastAsia="仿宋"/>
          <w:sz w:val="32"/>
          <w:szCs w:val="36"/>
          <w:highlight w:val="none"/>
          <w:lang w:val="en-US" w:eastAsia="zh-CN"/>
        </w:rPr>
        <w:t>4处，共45班。</w:t>
      </w:r>
    </w:p>
    <w:p>
      <w:pPr>
        <w:spacing w:line="560" w:lineRule="exact"/>
        <w:ind w:firstLine="640" w:firstLineChars="200"/>
        <w:outlineLvl w:val="1"/>
        <w:rPr>
          <w:rFonts w:ascii="仿宋" w:hAnsi="仿宋" w:eastAsia="仿宋"/>
          <w:sz w:val="32"/>
          <w:szCs w:val="36"/>
          <w:highlight w:val="none"/>
        </w:rPr>
      </w:pPr>
      <w:r>
        <w:rPr>
          <w:rFonts w:ascii="仿宋" w:hAnsi="仿宋" w:eastAsia="仿宋"/>
          <w:sz w:val="32"/>
          <w:szCs w:val="36"/>
          <w:highlight w:val="none"/>
        </w:rPr>
        <w:t>2</w:t>
      </w:r>
      <w:r>
        <w:rPr>
          <w:rFonts w:hint="eastAsia" w:ascii="仿宋" w:hAnsi="仿宋" w:eastAsia="仿宋"/>
          <w:sz w:val="32"/>
          <w:szCs w:val="36"/>
          <w:highlight w:val="none"/>
        </w:rPr>
        <w:t>、</w:t>
      </w:r>
      <w:r>
        <w:rPr>
          <w:rFonts w:ascii="仿宋" w:hAnsi="仿宋" w:eastAsia="仿宋"/>
          <w:sz w:val="32"/>
          <w:szCs w:val="36"/>
          <w:highlight w:val="none"/>
        </w:rPr>
        <w:t>道路与交通设施</w:t>
      </w:r>
    </w:p>
    <w:p>
      <w:pPr>
        <w:spacing w:line="560" w:lineRule="exact"/>
        <w:ind w:firstLine="640" w:firstLineChars="200"/>
        <w:rPr>
          <w:rFonts w:hint="eastAsia" w:ascii="仿宋" w:hAnsi="仿宋" w:eastAsia="仿宋"/>
          <w:sz w:val="32"/>
          <w:szCs w:val="36"/>
          <w:highlight w:val="none"/>
        </w:rPr>
      </w:pPr>
      <w:r>
        <w:rPr>
          <w:rFonts w:hint="eastAsia" w:ascii="仿宋" w:hAnsi="仿宋" w:eastAsia="仿宋"/>
          <w:sz w:val="32"/>
          <w:szCs w:val="36"/>
          <w:highlight w:val="none"/>
          <w:lang w:val="en-US" w:eastAsia="zh-CN"/>
        </w:rPr>
        <w:t>调整范围内</w:t>
      </w:r>
      <w:r>
        <w:rPr>
          <w:rFonts w:hint="eastAsia" w:ascii="仿宋" w:hAnsi="仿宋" w:eastAsia="仿宋"/>
          <w:sz w:val="32"/>
          <w:szCs w:val="36"/>
          <w:highlight w:val="none"/>
        </w:rPr>
        <w:t>在公共服务中心、居住组团、村庄等客流集散点布设1个公交枢纽站、</w:t>
      </w:r>
      <w:r>
        <w:rPr>
          <w:rFonts w:hint="eastAsia" w:ascii="仿宋" w:hAnsi="仿宋" w:eastAsia="仿宋"/>
          <w:sz w:val="32"/>
          <w:szCs w:val="36"/>
          <w:highlight w:val="none"/>
          <w:lang w:val="en-US" w:eastAsia="zh-CN"/>
        </w:rPr>
        <w:t>1</w:t>
      </w:r>
      <w:r>
        <w:rPr>
          <w:rFonts w:hint="eastAsia" w:ascii="仿宋" w:hAnsi="仿宋" w:eastAsia="仿宋"/>
          <w:sz w:val="32"/>
          <w:szCs w:val="36"/>
          <w:highlight w:val="none"/>
        </w:rPr>
        <w:t>个公交首末站；独立占地社会停车场（</w:t>
      </w:r>
      <w:r>
        <w:rPr>
          <w:rFonts w:hint="eastAsia" w:ascii="仿宋" w:hAnsi="仿宋" w:eastAsia="仿宋"/>
          <w:sz w:val="32"/>
          <w:szCs w:val="36"/>
          <w:highlight w:val="none"/>
          <w:lang w:val="en-US" w:eastAsia="zh-CN"/>
        </w:rPr>
        <w:t>3</w:t>
      </w:r>
      <w:r>
        <w:rPr>
          <w:rFonts w:hint="eastAsia" w:ascii="仿宋" w:hAnsi="仿宋" w:eastAsia="仿宋"/>
          <w:sz w:val="32"/>
          <w:szCs w:val="36"/>
          <w:highlight w:val="none"/>
        </w:rPr>
        <w:t>处）与配建停车位相结合，共计可提供</w:t>
      </w:r>
      <w:r>
        <w:rPr>
          <w:rFonts w:hint="eastAsia" w:ascii="仿宋" w:hAnsi="仿宋" w:eastAsia="仿宋"/>
          <w:sz w:val="32"/>
          <w:szCs w:val="36"/>
          <w:highlight w:val="none"/>
          <w:lang w:val="en-US" w:eastAsia="zh-CN"/>
        </w:rPr>
        <w:t>925</w:t>
      </w:r>
      <w:r>
        <w:rPr>
          <w:rFonts w:hint="eastAsia" w:ascii="仿宋" w:hAnsi="仿宋" w:eastAsia="仿宋"/>
          <w:sz w:val="32"/>
          <w:szCs w:val="36"/>
          <w:highlight w:val="none"/>
        </w:rPr>
        <w:t>个泊位。</w:t>
      </w:r>
    </w:p>
    <w:p>
      <w:pPr>
        <w:spacing w:line="560" w:lineRule="exact"/>
        <w:ind w:firstLine="640" w:firstLineChars="200"/>
        <w:rPr>
          <w:rFonts w:hint="default" w:ascii="仿宋" w:hAnsi="仿宋" w:eastAsia="仿宋"/>
          <w:sz w:val="32"/>
          <w:szCs w:val="36"/>
          <w:highlight w:val="none"/>
          <w:lang w:val="en-US" w:eastAsia="zh-CN"/>
        </w:rPr>
      </w:pPr>
      <w:r>
        <w:rPr>
          <w:rFonts w:hint="eastAsia" w:ascii="仿宋" w:hAnsi="仿宋" w:eastAsia="仿宋"/>
          <w:sz w:val="32"/>
          <w:szCs w:val="36"/>
          <w:highlight w:val="none"/>
          <w:lang w:val="en-US" w:eastAsia="zh-CN"/>
        </w:rPr>
        <w:t>3</w:t>
      </w:r>
      <w:r>
        <w:rPr>
          <w:rFonts w:hint="eastAsia" w:ascii="仿宋" w:hAnsi="仿宋" w:eastAsia="仿宋"/>
          <w:sz w:val="32"/>
          <w:szCs w:val="36"/>
          <w:highlight w:val="none"/>
        </w:rPr>
        <w:t>、</w:t>
      </w:r>
      <w:r>
        <w:rPr>
          <w:rFonts w:hint="eastAsia" w:ascii="仿宋" w:hAnsi="仿宋" w:eastAsia="仿宋"/>
          <w:sz w:val="32"/>
          <w:szCs w:val="36"/>
          <w:highlight w:val="none"/>
          <w:lang w:val="en-US" w:eastAsia="zh-CN"/>
        </w:rPr>
        <w:t>公用设施</w:t>
      </w:r>
    </w:p>
    <w:p>
      <w:pPr>
        <w:pStyle w:val="2"/>
        <w:ind w:firstLine="640" w:firstLineChars="200"/>
        <w:rPr>
          <w:rFonts w:hint="default" w:eastAsia="仿宋"/>
          <w:lang w:val="en-US" w:eastAsia="zh-CN"/>
        </w:rPr>
      </w:pPr>
      <w:r>
        <w:rPr>
          <w:rFonts w:hint="eastAsia" w:ascii="仿宋" w:hAnsi="仿宋" w:eastAsia="仿宋"/>
          <w:sz w:val="32"/>
          <w:szCs w:val="36"/>
          <w:highlight w:val="none"/>
          <w:lang w:val="en-US" w:eastAsia="zh-CN"/>
        </w:rPr>
        <w:t>调整范围内共规划设110KV变电站1处（桂林变）、一级普通消防站1处、垃圾转运站1处、固定避灾点6处。</w:t>
      </w:r>
    </w:p>
    <w:p>
      <w:pPr>
        <w:spacing w:line="560" w:lineRule="exact"/>
        <w:ind w:firstLine="640" w:firstLineChars="200"/>
        <w:outlineLvl w:val="0"/>
        <w:rPr>
          <w:rFonts w:ascii="黑体" w:hAnsi="黑体" w:eastAsia="黑体" w:cs="仿宋_GB2312"/>
          <w:bCs/>
          <w:sz w:val="32"/>
          <w:szCs w:val="36"/>
          <w:highlight w:val="none"/>
        </w:rPr>
      </w:pPr>
      <w:r>
        <w:rPr>
          <w:rFonts w:hint="eastAsia" w:ascii="黑体" w:hAnsi="黑体" w:eastAsia="黑体" w:cs="仿宋_GB2312"/>
          <w:bCs/>
          <w:sz w:val="32"/>
          <w:szCs w:val="36"/>
          <w:highlight w:val="none"/>
        </w:rPr>
        <w:t>七</w:t>
      </w:r>
      <w:r>
        <w:rPr>
          <w:rFonts w:ascii="黑体" w:hAnsi="黑体" w:eastAsia="黑体" w:cs="仿宋_GB2312"/>
          <w:bCs/>
          <w:sz w:val="32"/>
          <w:szCs w:val="36"/>
          <w:highlight w:val="none"/>
        </w:rPr>
        <w:t>、空间景观</w:t>
      </w:r>
    </w:p>
    <w:p>
      <w:pPr>
        <w:adjustRightInd w:val="0"/>
        <w:snapToGrid w:val="0"/>
        <w:spacing w:line="560" w:lineRule="exact"/>
        <w:ind w:firstLine="640" w:firstLineChars="200"/>
        <w:rPr>
          <w:rFonts w:hint="eastAsia" w:ascii="仿宋" w:hAnsi="仿宋" w:eastAsia="仿宋"/>
          <w:sz w:val="32"/>
          <w:szCs w:val="36"/>
          <w:highlight w:val="none"/>
        </w:rPr>
      </w:pPr>
      <w:r>
        <w:rPr>
          <w:rFonts w:hint="eastAsia" w:ascii="仿宋" w:hAnsi="仿宋" w:eastAsia="仿宋"/>
          <w:sz w:val="32"/>
          <w:szCs w:val="36"/>
          <w:highlight w:val="none"/>
        </w:rPr>
        <w:t>以牛溪和自然山体为主要景观线索，构建“一带五廊、双心多点”的空间景观结构。</w:t>
      </w:r>
    </w:p>
    <w:p>
      <w:pPr>
        <w:adjustRightInd w:val="0"/>
        <w:snapToGrid w:val="0"/>
        <w:spacing w:line="560" w:lineRule="exact"/>
        <w:ind w:firstLine="640" w:firstLineChars="200"/>
        <w:rPr>
          <w:rFonts w:hint="eastAsia" w:ascii="仿宋" w:hAnsi="仿宋" w:eastAsia="仿宋"/>
          <w:sz w:val="32"/>
          <w:szCs w:val="36"/>
          <w:highlight w:val="none"/>
        </w:rPr>
      </w:pPr>
      <w:r>
        <w:rPr>
          <w:rFonts w:hint="eastAsia" w:ascii="仿宋" w:hAnsi="仿宋" w:eastAsia="仿宋"/>
          <w:sz w:val="32"/>
          <w:szCs w:val="36"/>
          <w:highlight w:val="none"/>
        </w:rPr>
        <w:t>1、“一带”：生态综合服务带；</w:t>
      </w:r>
    </w:p>
    <w:p>
      <w:pPr>
        <w:adjustRightInd w:val="0"/>
        <w:snapToGrid w:val="0"/>
        <w:spacing w:line="560" w:lineRule="exact"/>
        <w:ind w:firstLine="640" w:firstLineChars="200"/>
        <w:rPr>
          <w:rFonts w:hint="eastAsia" w:ascii="仿宋" w:hAnsi="仿宋" w:eastAsia="仿宋"/>
          <w:sz w:val="32"/>
          <w:szCs w:val="36"/>
          <w:highlight w:val="none"/>
        </w:rPr>
      </w:pPr>
      <w:r>
        <w:rPr>
          <w:rFonts w:hint="eastAsia" w:ascii="仿宋" w:hAnsi="仿宋" w:eastAsia="仿宋"/>
          <w:sz w:val="32"/>
          <w:szCs w:val="36"/>
          <w:highlight w:val="none"/>
        </w:rPr>
        <w:t>2、“五廊”：沿牛溪横向渗透的五个5 分钟内步行可达的主要空间廊道，让绿色形象渗透到物流城每一个角落。</w:t>
      </w:r>
    </w:p>
    <w:p>
      <w:pPr>
        <w:adjustRightInd w:val="0"/>
        <w:snapToGrid w:val="0"/>
        <w:spacing w:line="560" w:lineRule="exact"/>
        <w:ind w:firstLine="640" w:firstLineChars="200"/>
        <w:rPr>
          <w:rFonts w:hint="eastAsia" w:ascii="仿宋" w:hAnsi="仿宋" w:eastAsia="仿宋"/>
          <w:sz w:val="32"/>
          <w:szCs w:val="36"/>
          <w:highlight w:val="none"/>
        </w:rPr>
      </w:pPr>
      <w:r>
        <w:rPr>
          <w:rFonts w:hint="eastAsia" w:ascii="仿宋" w:hAnsi="仿宋" w:eastAsia="仿宋"/>
          <w:sz w:val="32"/>
          <w:szCs w:val="36"/>
          <w:highlight w:val="none"/>
        </w:rPr>
        <w:t>3、“双心”：依托牛溪支流溪谷、集聚规划区的公共管理与服务职能的物流城公共管理与综合服务核心及北片区三溪交汇处的创意绿岛；</w:t>
      </w:r>
    </w:p>
    <w:p>
      <w:pPr>
        <w:adjustRightInd w:val="0"/>
        <w:snapToGrid w:val="0"/>
        <w:spacing w:line="560" w:lineRule="exact"/>
        <w:ind w:firstLine="640" w:firstLineChars="200"/>
        <w:rPr>
          <w:rFonts w:ascii="黑体" w:hAnsi="黑体" w:eastAsia="黑体" w:cs="仿宋_GB2312"/>
          <w:b/>
          <w:sz w:val="28"/>
          <w:szCs w:val="32"/>
          <w:highlight w:val="none"/>
        </w:rPr>
      </w:pPr>
      <w:r>
        <w:rPr>
          <w:rFonts w:hint="eastAsia" w:ascii="仿宋" w:hAnsi="仿宋" w:eastAsia="仿宋"/>
          <w:sz w:val="32"/>
          <w:szCs w:val="36"/>
          <w:highlight w:val="none"/>
        </w:rPr>
        <w:t>4、“多点”：邻里中心和特色园区，依托产业形成的邻里服务中心、特色产业展示园区和自然公园节点。</w:t>
      </w:r>
      <w:r>
        <w:rPr>
          <w:rFonts w:ascii="黑体" w:hAnsi="黑体" w:eastAsia="黑体" w:cs="仿宋_GB2312"/>
          <w:b/>
          <w:sz w:val="28"/>
          <w:szCs w:val="32"/>
          <w:highlight w:val="none"/>
        </w:rPr>
        <w:br w:type="page"/>
      </w:r>
    </w:p>
    <w:p>
      <w:pPr>
        <w:spacing w:line="560" w:lineRule="exact"/>
        <w:ind w:firstLine="640" w:firstLineChars="200"/>
        <w:outlineLvl w:val="0"/>
        <w:rPr>
          <w:rFonts w:ascii="黑体" w:hAnsi="黑体" w:eastAsia="黑体" w:cs="仿宋_GB2312"/>
          <w:bCs/>
          <w:sz w:val="32"/>
          <w:szCs w:val="36"/>
          <w:highlight w:val="none"/>
        </w:rPr>
      </w:pPr>
      <w:r>
        <w:rPr>
          <w:rFonts w:hint="eastAsia" w:ascii="黑体" w:hAnsi="黑体" w:eastAsia="黑体" w:cs="仿宋_GB2312"/>
          <w:bCs/>
          <w:sz w:val="32"/>
          <w:szCs w:val="36"/>
          <w:highlight w:val="none"/>
        </w:rPr>
        <w:t>八</w:t>
      </w:r>
      <w:r>
        <w:rPr>
          <w:rFonts w:ascii="黑体" w:hAnsi="黑体" w:eastAsia="黑体" w:cs="仿宋_GB2312"/>
          <w:bCs/>
          <w:sz w:val="32"/>
          <w:szCs w:val="36"/>
          <w:highlight w:val="none"/>
        </w:rPr>
        <w:t>、</w:t>
      </w:r>
      <w:r>
        <w:rPr>
          <w:rFonts w:hint="eastAsia" w:ascii="黑体" w:hAnsi="黑体" w:eastAsia="黑体" w:cs="仿宋_GB2312"/>
          <w:bCs/>
          <w:sz w:val="32"/>
          <w:szCs w:val="36"/>
          <w:highlight w:val="none"/>
        </w:rPr>
        <w:t>公示图纸</w:t>
      </w:r>
    </w:p>
    <w:p>
      <w:pPr>
        <w:ind w:firstLine="640" w:firstLineChars="200"/>
        <w:jc w:val="left"/>
      </w:pPr>
      <w:r>
        <w:rPr>
          <w:rFonts w:hint="eastAsia" w:ascii="仿宋" w:hAnsi="仿宋" w:eastAsia="仿宋"/>
          <w:sz w:val="32"/>
          <w:szCs w:val="36"/>
          <w:highlight w:val="none"/>
        </w:rPr>
        <w:t>1、</w:t>
      </w:r>
      <w:r>
        <w:rPr>
          <w:rFonts w:ascii="仿宋" w:hAnsi="仿宋" w:eastAsia="仿宋"/>
          <w:sz w:val="32"/>
          <w:szCs w:val="36"/>
          <w:highlight w:val="none"/>
        </w:rPr>
        <w:t>土地利用规划图</w:t>
      </w:r>
      <w:r>
        <w:drawing>
          <wp:inline distT="0" distB="0" distL="114300" distR="114300">
            <wp:extent cx="5271770" cy="6470015"/>
            <wp:effectExtent l="9525" t="9525" r="14605" b="165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271770" cy="6470015"/>
                    </a:xfrm>
                    <a:prstGeom prst="rect">
                      <a:avLst/>
                    </a:prstGeom>
                    <a:noFill/>
                    <a:ln>
                      <a:solidFill>
                        <a:schemeClr val="bg1">
                          <a:lumMod val="85000"/>
                        </a:schemeClr>
                      </a:solidFill>
                    </a:ln>
                  </pic:spPr>
                </pic:pic>
              </a:graphicData>
            </a:graphic>
          </wp:inline>
        </w:drawing>
      </w:r>
    </w:p>
    <w:p>
      <w:pPr>
        <w:pStyle w:val="2"/>
      </w:pPr>
    </w:p>
    <w:p>
      <w:pPr>
        <w:pStyle w:val="2"/>
      </w:pPr>
    </w:p>
    <w:p>
      <w:pPr>
        <w:pStyle w:val="2"/>
      </w:pPr>
    </w:p>
    <w:p>
      <w:pPr>
        <w:pStyle w:val="2"/>
      </w:pPr>
    </w:p>
    <w:p>
      <w:pPr>
        <w:pStyle w:val="2"/>
      </w:pPr>
    </w:p>
    <w:p>
      <w:pPr>
        <w:pStyle w:val="2"/>
      </w:pPr>
    </w:p>
    <w:p>
      <w:pPr>
        <w:numPr>
          <w:ilvl w:val="0"/>
          <w:numId w:val="2"/>
        </w:numPr>
        <w:ind w:firstLine="640" w:firstLineChars="200"/>
        <w:rPr>
          <w:rFonts w:ascii="仿宋" w:hAnsi="仿宋" w:eastAsia="仿宋"/>
          <w:sz w:val="32"/>
          <w:szCs w:val="36"/>
          <w:highlight w:val="none"/>
        </w:rPr>
      </w:pPr>
      <w:r>
        <w:rPr>
          <w:rFonts w:ascii="仿宋" w:hAnsi="仿宋" w:eastAsia="仿宋"/>
          <w:sz w:val="32"/>
          <w:szCs w:val="36"/>
          <w:highlight w:val="none"/>
        </w:rPr>
        <w:t>道路交通规划图</w:t>
      </w:r>
    </w:p>
    <w:p>
      <w:pPr>
        <w:numPr>
          <w:numId w:val="0"/>
        </w:numPr>
        <w:rPr>
          <w:rFonts w:ascii="仿宋" w:hAnsi="仿宋" w:eastAsia="仿宋"/>
          <w:sz w:val="32"/>
          <w:szCs w:val="36"/>
          <w:highlight w:val="none"/>
        </w:rPr>
      </w:pPr>
      <w:r>
        <w:drawing>
          <wp:inline distT="0" distB="0" distL="114300" distR="114300">
            <wp:extent cx="5269865" cy="6470650"/>
            <wp:effectExtent l="9525" t="9525" r="16510" b="158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269865" cy="6470650"/>
                    </a:xfrm>
                    <a:prstGeom prst="rect">
                      <a:avLst/>
                    </a:prstGeom>
                    <a:noFill/>
                    <a:ln>
                      <a:solidFill>
                        <a:schemeClr val="bg1">
                          <a:lumMod val="85000"/>
                        </a:schemeClr>
                      </a:solidFill>
                    </a:ln>
                  </pic:spPr>
                </pic:pic>
              </a:graphicData>
            </a:graphic>
          </wp:inline>
        </w:drawing>
      </w:r>
    </w:p>
    <w:p>
      <w:pPr>
        <w:widowControl/>
        <w:jc w:val="left"/>
        <w:rPr>
          <w:rFonts w:ascii="仿宋" w:hAnsi="仿宋" w:eastAsia="仿宋"/>
          <w:sz w:val="32"/>
          <w:szCs w:val="36"/>
          <w:highlight w:val="none"/>
        </w:rPr>
      </w:pPr>
      <w:r>
        <w:rPr>
          <w:rFonts w:ascii="仿宋" w:hAnsi="仿宋" w:eastAsia="仿宋"/>
          <w:sz w:val="32"/>
          <w:szCs w:val="36"/>
          <w:highlight w:val="none"/>
        </w:rPr>
        <w:br w:type="page"/>
      </w:r>
    </w:p>
    <w:p>
      <w:pPr>
        <w:numPr>
          <w:ilvl w:val="0"/>
          <w:numId w:val="2"/>
        </w:numPr>
        <w:ind w:left="0" w:leftChars="0" w:firstLine="640" w:firstLineChars="200"/>
        <w:rPr>
          <w:rFonts w:hint="default" w:ascii="仿宋" w:hAnsi="仿宋" w:eastAsia="仿宋"/>
          <w:sz w:val="32"/>
          <w:szCs w:val="36"/>
          <w:highlight w:val="none"/>
          <w:lang w:val="en-US" w:eastAsia="zh-CN"/>
        </w:rPr>
      </w:pPr>
      <w:r>
        <w:rPr>
          <w:rFonts w:hint="eastAsia" w:ascii="仿宋" w:hAnsi="仿宋" w:eastAsia="仿宋"/>
          <w:sz w:val="32"/>
          <w:szCs w:val="36"/>
          <w:highlight w:val="none"/>
          <w:lang w:val="en-US" w:eastAsia="zh-CN"/>
        </w:rPr>
        <w:t>空间结构规划图</w:t>
      </w:r>
    </w:p>
    <w:p>
      <w:pPr>
        <w:pStyle w:val="2"/>
        <w:rPr>
          <w:rFonts w:hint="default"/>
          <w:lang w:val="en-US" w:eastAsia="zh-CN"/>
        </w:rPr>
      </w:pPr>
      <w:r>
        <w:drawing>
          <wp:inline distT="0" distB="0" distL="114300" distR="114300">
            <wp:extent cx="5273675" cy="6471285"/>
            <wp:effectExtent l="9525" t="9525" r="12700" b="1524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5273675" cy="6471285"/>
                    </a:xfrm>
                    <a:prstGeom prst="rect">
                      <a:avLst/>
                    </a:prstGeom>
                    <a:noFill/>
                    <a:ln>
                      <a:solidFill>
                        <a:schemeClr val="bg1">
                          <a:lumMod val="85000"/>
                        </a:schemeClr>
                      </a:solidFill>
                    </a:ln>
                  </pic:spPr>
                </pic:pic>
              </a:graphicData>
            </a:graphic>
          </wp:inline>
        </w:drawing>
      </w: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05868252"/>
      <w:docPartObj>
        <w:docPartGallery w:val="autotext"/>
      </w:docPartObj>
    </w:sdtPr>
    <w:sdtEndPr>
      <w:rPr>
        <w:rFonts w:ascii="仿宋" w:hAnsi="仿宋" w:eastAsia="仿宋"/>
        <w:sz w:val="28"/>
        <w:szCs w:val="28"/>
      </w:rPr>
    </w:sdtEndPr>
    <w:sdtContent>
      <w:p>
        <w:pPr>
          <w:pStyle w:val="3"/>
          <w:jc w:val="center"/>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PAGE   \* MERGEFORMAT</w:instrText>
        </w:r>
        <w:r>
          <w:rPr>
            <w:rFonts w:ascii="仿宋" w:hAnsi="仿宋" w:eastAsia="仿宋"/>
            <w:sz w:val="28"/>
            <w:szCs w:val="28"/>
          </w:rPr>
          <w:fldChar w:fldCharType="separate"/>
        </w:r>
        <w:r>
          <w:rPr>
            <w:rFonts w:ascii="仿宋" w:hAnsi="仿宋" w:eastAsia="仿宋"/>
            <w:sz w:val="28"/>
            <w:szCs w:val="28"/>
            <w:lang w:val="zh-CN"/>
          </w:rPr>
          <w:t>2</w:t>
        </w:r>
        <w:r>
          <w:rPr>
            <w:rFonts w:ascii="仿宋" w:hAnsi="仿宋" w:eastAsia="仿宋"/>
            <w:sz w:val="28"/>
            <w:szCs w:val="28"/>
          </w:rPr>
          <w:fldChar w:fldCharType="end"/>
        </w:r>
      </w:p>
    </w:sdtContent>
  </w:sdt>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879ECEA"/>
    <w:multiLevelType w:val="singleLevel"/>
    <w:tmpl w:val="C879ECEA"/>
    <w:lvl w:ilvl="0" w:tentative="0">
      <w:start w:val="5"/>
      <w:numFmt w:val="chineseCounting"/>
      <w:suff w:val="nothing"/>
      <w:lvlText w:val="%1、"/>
      <w:lvlJc w:val="left"/>
      <w:rPr>
        <w:rFonts w:hint="eastAsia"/>
      </w:rPr>
    </w:lvl>
  </w:abstractNum>
  <w:abstractNum w:abstractNumId="1">
    <w:nsid w:val="42A5491D"/>
    <w:multiLevelType w:val="singleLevel"/>
    <w:tmpl w:val="42A5491D"/>
    <w:lvl w:ilvl="0" w:tentative="0">
      <w:start w:val="2"/>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13BBE"/>
    <w:rsid w:val="00030FBC"/>
    <w:rsid w:val="00036D60"/>
    <w:rsid w:val="000453CF"/>
    <w:rsid w:val="000630CF"/>
    <w:rsid w:val="000804E4"/>
    <w:rsid w:val="000B3FB6"/>
    <w:rsid w:val="000B4A81"/>
    <w:rsid w:val="000F0910"/>
    <w:rsid w:val="0015703C"/>
    <w:rsid w:val="00163040"/>
    <w:rsid w:val="00181745"/>
    <w:rsid w:val="001D3C95"/>
    <w:rsid w:val="001E0C1C"/>
    <w:rsid w:val="002600B4"/>
    <w:rsid w:val="00261597"/>
    <w:rsid w:val="00273316"/>
    <w:rsid w:val="002A6E61"/>
    <w:rsid w:val="002F32B1"/>
    <w:rsid w:val="00366277"/>
    <w:rsid w:val="003B5A6C"/>
    <w:rsid w:val="003D34C9"/>
    <w:rsid w:val="004156E3"/>
    <w:rsid w:val="004375BC"/>
    <w:rsid w:val="004757AC"/>
    <w:rsid w:val="00476965"/>
    <w:rsid w:val="00491581"/>
    <w:rsid w:val="004D5F45"/>
    <w:rsid w:val="00515612"/>
    <w:rsid w:val="00515F90"/>
    <w:rsid w:val="00522129"/>
    <w:rsid w:val="0057268B"/>
    <w:rsid w:val="0058712B"/>
    <w:rsid w:val="00594F10"/>
    <w:rsid w:val="005A11B3"/>
    <w:rsid w:val="005C54B4"/>
    <w:rsid w:val="00611042"/>
    <w:rsid w:val="00642EB6"/>
    <w:rsid w:val="00665128"/>
    <w:rsid w:val="006672BA"/>
    <w:rsid w:val="006A2F59"/>
    <w:rsid w:val="006B6D86"/>
    <w:rsid w:val="006D17E1"/>
    <w:rsid w:val="006E5F23"/>
    <w:rsid w:val="00777FFA"/>
    <w:rsid w:val="007C1E6F"/>
    <w:rsid w:val="007E4533"/>
    <w:rsid w:val="00802C0B"/>
    <w:rsid w:val="008519C3"/>
    <w:rsid w:val="008C6874"/>
    <w:rsid w:val="00974286"/>
    <w:rsid w:val="00990F11"/>
    <w:rsid w:val="00A062A5"/>
    <w:rsid w:val="00A37865"/>
    <w:rsid w:val="00A70170"/>
    <w:rsid w:val="00AA7170"/>
    <w:rsid w:val="00AF1727"/>
    <w:rsid w:val="00B16F19"/>
    <w:rsid w:val="00B80BFB"/>
    <w:rsid w:val="00C54CD8"/>
    <w:rsid w:val="00C6356E"/>
    <w:rsid w:val="00C74260"/>
    <w:rsid w:val="00C941C9"/>
    <w:rsid w:val="00CA1F4C"/>
    <w:rsid w:val="00CD1049"/>
    <w:rsid w:val="00CD5B3B"/>
    <w:rsid w:val="00CD60C4"/>
    <w:rsid w:val="00CE480C"/>
    <w:rsid w:val="00D113A5"/>
    <w:rsid w:val="00D129A4"/>
    <w:rsid w:val="00D27E2D"/>
    <w:rsid w:val="00D403A2"/>
    <w:rsid w:val="00D83CA1"/>
    <w:rsid w:val="00DB6E10"/>
    <w:rsid w:val="00DC4A1F"/>
    <w:rsid w:val="00E17A8E"/>
    <w:rsid w:val="00E21C7B"/>
    <w:rsid w:val="00E51126"/>
    <w:rsid w:val="00E71D11"/>
    <w:rsid w:val="00E74C85"/>
    <w:rsid w:val="00EE5936"/>
    <w:rsid w:val="00EF6849"/>
    <w:rsid w:val="00F06D47"/>
    <w:rsid w:val="00F44108"/>
    <w:rsid w:val="00FA76D5"/>
    <w:rsid w:val="00FA7C5D"/>
    <w:rsid w:val="00FF5EE2"/>
    <w:rsid w:val="024549E6"/>
    <w:rsid w:val="0CE73BF1"/>
    <w:rsid w:val="10DF153A"/>
    <w:rsid w:val="211C1233"/>
    <w:rsid w:val="28994D36"/>
    <w:rsid w:val="5B7D0E8E"/>
    <w:rsid w:val="5E773F82"/>
    <w:rsid w:val="61D83813"/>
    <w:rsid w:val="623B3F8E"/>
    <w:rsid w:val="649B1DB4"/>
    <w:rsid w:val="759348B7"/>
    <w:rsid w:val="77877740"/>
    <w:rsid w:val="78C1408E"/>
    <w:rsid w:val="790300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semiHidden/>
    <w:unhideWhenUsed/>
    <w:uiPriority w:val="99"/>
    <w:rPr>
      <w:sz w:val="18"/>
    </w:r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6"/>
    <w:link w:val="4"/>
    <w:qFormat/>
    <w:uiPriority w:val="99"/>
    <w:rPr>
      <w:sz w:val="18"/>
      <w:szCs w:val="18"/>
    </w:rPr>
  </w:style>
  <w:style w:type="character" w:customStyle="1" w:styleId="8">
    <w:name w:val="页脚 字符"/>
    <w:basedOn w:val="6"/>
    <w:link w:val="3"/>
    <w:qFormat/>
    <w:uiPriority w:val="99"/>
    <w:rPr>
      <w:sz w:val="18"/>
      <w:szCs w:val="18"/>
    </w:rPr>
  </w:style>
  <w:style w:type="paragraph" w:customStyle="1" w:styleId="9">
    <w:name w:val="Default"/>
    <w:unhideWhenUsed/>
    <w:qFormat/>
    <w:uiPriority w:val="99"/>
    <w:pPr>
      <w:widowControl w:val="0"/>
      <w:autoSpaceDE w:val="0"/>
      <w:autoSpaceDN w:val="0"/>
      <w:adjustRightInd w:val="0"/>
      <w:spacing w:beforeLines="0" w:afterLines="0"/>
    </w:pPr>
    <w:rPr>
      <w:rFonts w:hint="default" w:ascii="微软雅黑" w:hAnsi="微软雅黑" w:eastAsia="微软雅黑" w:cstheme="minorBidi"/>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fzghy</Company>
  <Pages>7</Pages>
  <Words>1497</Words>
  <Characters>100</Characters>
  <Lines>1</Lines>
  <Paragraphs>3</Paragraphs>
  <TotalTime>5</TotalTime>
  <ScaleCrop>false</ScaleCrop>
  <LinksUpToDate>false</LinksUpToDate>
  <CharactersWithSpaces>1594</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2021-04-29T04:49:00Z</dcterms:created>
  <dc:creator>郭宇涵</dc:creator>
  <cp:lastModifiedBy>you_j</cp:lastModifiedBy>
  <dcterms:modified xsi:type="dcterms:W3CDTF">2025-02-19T05:46:42Z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y fmtid="{D5CDD505-2E9C-101B-9397-08002B2CF9AE}" pid="3" name="ICV">
    <vt:lpwstr>4712F79C29C44B5A8C039BFF77328CFD</vt:lpwstr>
  </property>
</Properties>
</file>