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福州市连江生态环境局2021年行政处罚下达决定书情况表（2021年9月24日）</w:t>
      </w:r>
    </w:p>
    <w:tbl>
      <w:tblPr>
        <w:tblStyle w:val="5"/>
        <w:tblpPr w:leftFromText="180" w:rightFromText="180" w:vertAnchor="page" w:horzAnchor="page" w:tblpX="1827" w:tblpY="2905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21"/>
        <w:gridCol w:w="3061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好事达（福州）家具有限公司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喷漆废气收集管道损坏未及时修复，造成部分废气未经处理设施处理直接泄露外环境的行为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处以人民币壹拾万元整罚款。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9月13日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7023B59"/>
    <w:rsid w:val="481C27FD"/>
    <w:rsid w:val="4BA12829"/>
    <w:rsid w:val="4BA256D6"/>
    <w:rsid w:val="4BD57CB9"/>
    <w:rsid w:val="4BE01EEF"/>
    <w:rsid w:val="4D7C7637"/>
    <w:rsid w:val="511919EA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2021-09-24T08:40:10Z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E4D5BCF1156847ECAB65466449E4E51A</vt:lpwstr>
  </property>
</Properties>
</file>