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2062" w:tblpY="2553"/>
        <w:tblOverlap w:val="never"/>
        <w:tblW w:w="12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62"/>
        <w:gridCol w:w="3193"/>
        <w:gridCol w:w="2989"/>
        <w:gridCol w:w="2778"/>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49"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bookmarkStart w:id="0" w:name="OLE_LINK1" w:colFirst="0" w:colLast="5"/>
          </w:p>
        </w:tc>
        <w:tc>
          <w:tcPr>
            <w:tcW w:w="1762"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企业名称</w:t>
            </w:r>
          </w:p>
        </w:tc>
        <w:tc>
          <w:tcPr>
            <w:tcW w:w="3193"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违法事实</w:t>
            </w:r>
          </w:p>
        </w:tc>
        <w:tc>
          <w:tcPr>
            <w:tcW w:w="2989"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处罚措施</w:t>
            </w:r>
          </w:p>
        </w:tc>
        <w:tc>
          <w:tcPr>
            <w:tcW w:w="2778"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下达决定书时间</w:t>
            </w:r>
          </w:p>
        </w:tc>
        <w:tc>
          <w:tcPr>
            <w:tcW w:w="907"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49" w:type="dxa"/>
            <w:vAlign w:val="center"/>
          </w:tcPr>
          <w:p>
            <w:pPr>
              <w:keepNext w:val="0"/>
              <w:keepLines w:val="0"/>
              <w:widowControl/>
              <w:suppressLineNumbers w:val="0"/>
              <w:spacing w:beforeAutospacing="1" w:afterAutospacing="1"/>
              <w:ind w:left="0" w:leftChars="0" w:right="0" w:rightChars="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1762"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rPr>
            </w:pPr>
            <w:r>
              <w:rPr>
                <w:rFonts w:hint="eastAsia" w:ascii="仿宋" w:hAnsi="仿宋" w:eastAsia="仿宋" w:cs="仿宋"/>
                <w:sz w:val="24"/>
                <w:szCs w:val="24"/>
                <w:lang w:eastAsia="zh-CN"/>
              </w:rPr>
              <w:t>福州跃晟实业有限公司</w:t>
            </w:r>
          </w:p>
        </w:tc>
        <w:tc>
          <w:tcPr>
            <w:tcW w:w="3193" w:type="dxa"/>
            <w:vAlign w:val="center"/>
          </w:tcPr>
          <w:p>
            <w:pPr>
              <w:keepNext w:val="0"/>
              <w:keepLines w:val="0"/>
              <w:widowControl/>
              <w:numPr>
                <w:ilvl w:val="0"/>
                <w:numId w:val="0"/>
              </w:numPr>
              <w:suppressLineNumbers w:val="0"/>
              <w:spacing w:beforeAutospacing="1" w:afterAutospacing="1"/>
              <w:ind w:right="0" w:right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该公司2号厂房未办理环评审批手续，擅自于2021年8月动工建设的行为。</w:t>
            </w:r>
          </w:p>
        </w:tc>
        <w:tc>
          <w:tcPr>
            <w:tcW w:w="2989" w:type="dxa"/>
            <w:vAlign w:val="center"/>
          </w:tcPr>
          <w:p>
            <w:pPr>
              <w:keepNext w:val="0"/>
              <w:keepLines w:val="0"/>
              <w:widowControl/>
              <w:suppressLineNumbers w:val="0"/>
              <w:spacing w:beforeAutospacing="1" w:afterAutospacing="1"/>
              <w:ind w:right="0" w:rightChars="0"/>
              <w:jc w:val="both"/>
              <w:rPr>
                <w:rFonts w:hint="eastAsia" w:ascii="仿宋" w:hAnsi="仿宋" w:eastAsia="仿宋" w:cs="仿宋"/>
                <w:sz w:val="24"/>
                <w:szCs w:val="24"/>
              </w:rPr>
            </w:pPr>
            <w:r>
              <w:rPr>
                <w:rFonts w:hint="eastAsia" w:ascii="仿宋" w:hAnsi="仿宋" w:eastAsia="仿宋" w:cs="仿宋"/>
                <w:sz w:val="24"/>
                <w:szCs w:val="24"/>
              </w:rPr>
              <w:t>处以人民币壹万零陆百元整罚款。</w:t>
            </w:r>
          </w:p>
        </w:tc>
        <w:tc>
          <w:tcPr>
            <w:tcW w:w="2778" w:type="dxa"/>
            <w:vAlign w:val="center"/>
          </w:tcPr>
          <w:p>
            <w:pPr>
              <w:snapToGrid w:val="0"/>
              <w:spacing w:line="600" w:lineRule="exact"/>
              <w:ind w:right="420"/>
              <w:jc w:val="center"/>
              <w:rPr>
                <w:rFonts w:hint="default" w:ascii="仿宋" w:hAnsi="仿宋" w:eastAsia="微软雅黑" w:cs="仿宋"/>
                <w:b w:val="0"/>
                <w:bCs w:val="0"/>
                <w:kern w:val="0"/>
                <w:sz w:val="24"/>
                <w:szCs w:val="24"/>
                <w:lang w:val="en-US" w:eastAsia="zh-CN" w:bidi="ar"/>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2021</w:t>
            </w:r>
            <w:bookmarkStart w:id="1" w:name="_GoBack"/>
            <w:bookmarkEnd w:id="1"/>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11月5日</w:t>
            </w:r>
          </w:p>
        </w:tc>
        <w:tc>
          <w:tcPr>
            <w:tcW w:w="907" w:type="dxa"/>
            <w:vAlign w:val="center"/>
          </w:tcPr>
          <w:p>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749" w:type="dxa"/>
            <w:vAlign w:val="center"/>
          </w:tcPr>
          <w:p>
            <w:pPr>
              <w:keepNext w:val="0"/>
              <w:keepLines w:val="0"/>
              <w:widowControl/>
              <w:suppressLineNumbers w:val="0"/>
              <w:spacing w:beforeAutospacing="1" w:afterAutospacing="1"/>
              <w:ind w:left="0" w:leftChars="0" w:right="0" w:rightChars="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w:t>
            </w:r>
          </w:p>
        </w:tc>
        <w:tc>
          <w:tcPr>
            <w:tcW w:w="1762"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福建省惠五建设工程有限公司</w:t>
            </w:r>
          </w:p>
        </w:tc>
        <w:tc>
          <w:tcPr>
            <w:tcW w:w="3193" w:type="dxa"/>
            <w:vAlign w:val="center"/>
          </w:tcPr>
          <w:p>
            <w:pPr>
              <w:keepNext w:val="0"/>
              <w:keepLines w:val="0"/>
              <w:widowControl/>
              <w:numPr>
                <w:ilvl w:val="0"/>
                <w:numId w:val="0"/>
              </w:numPr>
              <w:suppressLineNumbers w:val="0"/>
              <w:spacing w:beforeAutospacing="1" w:afterAutospacing="1"/>
              <w:ind w:right="0" w:right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该公司承接国能（连江）港电有限公司电厂码头工程的混凝土搅拌站项目原料堆场堆放有沙子、碎石等，未设置高于料堆的围挡，也未采取有效的覆盖措施，还有部分沙子露天堆放的行为。</w:t>
            </w:r>
          </w:p>
        </w:tc>
        <w:tc>
          <w:tcPr>
            <w:tcW w:w="2989" w:type="dxa"/>
            <w:vAlign w:val="center"/>
          </w:tcPr>
          <w:p>
            <w:pPr>
              <w:keepNext w:val="0"/>
              <w:keepLines w:val="0"/>
              <w:widowControl/>
              <w:suppressLineNumbers w:val="0"/>
              <w:spacing w:beforeAutospacing="1" w:afterAutospacing="1"/>
              <w:ind w:right="0" w:rightChars="0"/>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处以人民币叁万元整罚款。</w:t>
            </w:r>
          </w:p>
        </w:tc>
        <w:tc>
          <w:tcPr>
            <w:tcW w:w="2778" w:type="dxa"/>
            <w:vAlign w:val="center"/>
          </w:tcPr>
          <w:p>
            <w:pPr>
              <w:snapToGrid w:val="0"/>
              <w:spacing w:line="600" w:lineRule="exact"/>
              <w:ind w:right="420" w:rightChars="0"/>
              <w:jc w:val="center"/>
              <w:rPr>
                <w:rFonts w:hint="default" w:ascii="仿宋" w:hAnsi="仿宋" w:eastAsia="微软雅黑" w:cs="仿宋"/>
                <w:b w:val="0"/>
                <w:bCs w:val="0"/>
                <w:kern w:val="0"/>
                <w:sz w:val="24"/>
                <w:szCs w:val="24"/>
                <w:lang w:val="en-US" w:eastAsia="zh-CN" w:bidi="ar"/>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2021</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11月5日</w:t>
            </w:r>
          </w:p>
        </w:tc>
        <w:tc>
          <w:tcPr>
            <w:tcW w:w="907" w:type="dxa"/>
            <w:vAlign w:val="center"/>
          </w:tcPr>
          <w:p>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749" w:type="dxa"/>
            <w:vAlign w:val="center"/>
          </w:tcPr>
          <w:p>
            <w:pPr>
              <w:keepNext w:val="0"/>
              <w:keepLines w:val="0"/>
              <w:widowControl/>
              <w:suppressLineNumbers w:val="0"/>
              <w:spacing w:beforeAutospacing="1" w:afterAutospacing="1"/>
              <w:ind w:left="0" w:leftChars="0" w:right="0" w:rightChars="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w:t>
            </w:r>
          </w:p>
        </w:tc>
        <w:tc>
          <w:tcPr>
            <w:tcW w:w="1762"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福建永强岩土股份有限公司</w:t>
            </w:r>
          </w:p>
        </w:tc>
        <w:tc>
          <w:tcPr>
            <w:tcW w:w="3193" w:type="dxa"/>
            <w:vAlign w:val="center"/>
          </w:tcPr>
          <w:p>
            <w:pPr>
              <w:keepNext w:val="0"/>
              <w:keepLines w:val="0"/>
              <w:widowControl/>
              <w:numPr>
                <w:ilvl w:val="0"/>
                <w:numId w:val="0"/>
              </w:numPr>
              <w:suppressLineNumbers w:val="0"/>
              <w:spacing w:beforeAutospacing="1" w:afterAutospacing="1"/>
              <w:ind w:right="0" w:right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该公司混凝土搅拌站项目原料堆放场的原料沙子、碎石露天堆放，未设置不低于堆放物高度的严密围挡，也未采取有效覆盖措施防治扬尘污染。</w:t>
            </w:r>
          </w:p>
        </w:tc>
        <w:tc>
          <w:tcPr>
            <w:tcW w:w="2989" w:type="dxa"/>
            <w:vAlign w:val="center"/>
          </w:tcPr>
          <w:p>
            <w:pPr>
              <w:keepNext w:val="0"/>
              <w:keepLines w:val="0"/>
              <w:widowControl/>
              <w:suppressLineNumbers w:val="0"/>
              <w:spacing w:beforeAutospacing="1" w:afterAutospacing="1"/>
              <w:ind w:right="0" w:right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处以人民币</w:t>
            </w:r>
            <w:r>
              <w:rPr>
                <w:rFonts w:hint="eastAsia" w:ascii="仿宋" w:hAnsi="仿宋" w:eastAsia="仿宋" w:cs="仿宋"/>
                <w:sz w:val="24"/>
                <w:szCs w:val="24"/>
              </w:rPr>
              <w:t>叁万元整罚款</w:t>
            </w:r>
            <w:r>
              <w:rPr>
                <w:rFonts w:hint="eastAsia" w:ascii="仿宋" w:hAnsi="仿宋" w:eastAsia="仿宋" w:cs="仿宋"/>
                <w:sz w:val="24"/>
                <w:szCs w:val="24"/>
                <w:lang w:eastAsia="zh-CN"/>
              </w:rPr>
              <w:t>。</w:t>
            </w:r>
          </w:p>
        </w:tc>
        <w:tc>
          <w:tcPr>
            <w:tcW w:w="2778" w:type="dxa"/>
            <w:vAlign w:val="center"/>
          </w:tcPr>
          <w:p>
            <w:pPr>
              <w:snapToGrid w:val="0"/>
              <w:spacing w:line="600" w:lineRule="exact"/>
              <w:ind w:right="420"/>
              <w:jc w:val="center"/>
              <w:rPr>
                <w:rFonts w:hint="default" w:ascii="仿宋" w:hAnsi="仿宋" w:eastAsia="仿宋" w:cs="仿宋"/>
                <w:b w:val="0"/>
                <w:bCs w:val="0"/>
                <w:kern w:val="0"/>
                <w:sz w:val="24"/>
                <w:szCs w:val="24"/>
                <w:lang w:val="en-US" w:eastAsia="zh-CN" w:bidi="ar"/>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2021</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11月5日</w:t>
            </w:r>
          </w:p>
        </w:tc>
        <w:tc>
          <w:tcPr>
            <w:tcW w:w="907" w:type="dxa"/>
            <w:vAlign w:val="center"/>
          </w:tcPr>
          <w:p>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749" w:type="dxa"/>
            <w:vAlign w:val="center"/>
          </w:tcPr>
          <w:p>
            <w:pPr>
              <w:keepNext w:val="0"/>
              <w:keepLines w:val="0"/>
              <w:widowControl/>
              <w:suppressLineNumbers w:val="0"/>
              <w:spacing w:beforeAutospacing="1" w:afterAutospacing="1"/>
              <w:ind w:left="0" w:leftChars="0" w:right="0" w:rightChars="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4</w:t>
            </w:r>
          </w:p>
        </w:tc>
        <w:tc>
          <w:tcPr>
            <w:tcW w:w="1762"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福建美滋味食品有限公司</w:t>
            </w:r>
          </w:p>
        </w:tc>
        <w:tc>
          <w:tcPr>
            <w:tcW w:w="3193" w:type="dxa"/>
            <w:vAlign w:val="center"/>
          </w:tcPr>
          <w:p>
            <w:pPr>
              <w:keepNext w:val="0"/>
              <w:keepLines w:val="0"/>
              <w:widowControl/>
              <w:numPr>
                <w:ilvl w:val="0"/>
                <w:numId w:val="0"/>
              </w:numPr>
              <w:suppressLineNumbers w:val="0"/>
              <w:spacing w:beforeAutospacing="1" w:afterAutospacing="1"/>
              <w:ind w:right="0" w:right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该公司污水总排口中的化学需氧量（COD）浓度值为948mg/L，超过《污水综合排放标准》（GB8978-1996）中的“其他排污单位”的三级标准（500mg/L），超标0.9倍的行为。</w:t>
            </w:r>
          </w:p>
        </w:tc>
        <w:tc>
          <w:tcPr>
            <w:tcW w:w="2989" w:type="dxa"/>
            <w:vAlign w:val="center"/>
          </w:tcPr>
          <w:p>
            <w:pPr>
              <w:keepNext w:val="0"/>
              <w:keepLines w:val="0"/>
              <w:widowControl/>
              <w:suppressLineNumbers w:val="0"/>
              <w:spacing w:beforeAutospacing="1" w:afterAutospacing="1"/>
              <w:ind w:right="0" w:right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处以人民币十</w:t>
            </w:r>
            <w:r>
              <w:rPr>
                <w:rFonts w:hint="eastAsia" w:ascii="仿宋" w:hAnsi="仿宋" w:eastAsia="仿宋" w:cs="仿宋"/>
                <w:sz w:val="24"/>
                <w:szCs w:val="24"/>
              </w:rPr>
              <w:t>万元整罚款</w:t>
            </w:r>
            <w:r>
              <w:rPr>
                <w:rFonts w:hint="eastAsia" w:ascii="仿宋" w:hAnsi="仿宋" w:eastAsia="仿宋" w:cs="仿宋"/>
                <w:sz w:val="24"/>
                <w:szCs w:val="24"/>
                <w:lang w:eastAsia="zh-CN"/>
              </w:rPr>
              <w:t>。</w:t>
            </w:r>
          </w:p>
        </w:tc>
        <w:tc>
          <w:tcPr>
            <w:tcW w:w="2778" w:type="dxa"/>
            <w:vAlign w:val="center"/>
          </w:tcPr>
          <w:p>
            <w:pPr>
              <w:snapToGrid w:val="0"/>
              <w:spacing w:line="600" w:lineRule="exact"/>
              <w:ind w:right="42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2021</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11月5日</w:t>
            </w:r>
          </w:p>
        </w:tc>
        <w:tc>
          <w:tcPr>
            <w:tcW w:w="907" w:type="dxa"/>
            <w:vAlign w:val="center"/>
          </w:tcPr>
          <w:p>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p>
        </w:tc>
      </w:tr>
      <w:bookmarkEnd w:id="0"/>
    </w:tbl>
    <w:p>
      <w:pPr>
        <w:ind w:firstLine="1687" w:firstLineChars="600"/>
        <w:jc w:val="left"/>
        <w:rPr>
          <w:rFonts w:hint="eastAsia" w:ascii="宋体" w:hAnsi="宋体" w:cs="宋体"/>
          <w:b/>
          <w:bCs/>
          <w:color w:val="333333"/>
          <w:kern w:val="0"/>
          <w:sz w:val="28"/>
          <w:szCs w:val="28"/>
          <w:lang w:val="en-US" w:eastAsia="zh-CN"/>
        </w:rPr>
      </w:pPr>
      <w:r>
        <w:rPr>
          <w:rFonts w:hint="eastAsia" w:ascii="宋体" w:hAnsi="宋体" w:cs="宋体"/>
          <w:b/>
          <w:bCs/>
          <w:color w:val="333333"/>
          <w:kern w:val="0"/>
          <w:sz w:val="28"/>
          <w:szCs w:val="28"/>
          <w:lang w:val="en-US" w:eastAsia="zh-CN"/>
        </w:rPr>
        <w:t>福州市连江生态环境局2021年行政处罚下达决定书情况表（2021年11月5日）</w:t>
      </w:r>
    </w:p>
    <w:p>
      <w:pPr>
        <w:rPr>
          <w:rFonts w:hint="eastAsia"/>
          <w:b/>
          <w:bCs/>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565A5"/>
    <w:rsid w:val="01D25F71"/>
    <w:rsid w:val="02800948"/>
    <w:rsid w:val="04387354"/>
    <w:rsid w:val="07E630B7"/>
    <w:rsid w:val="094D3B01"/>
    <w:rsid w:val="099D675C"/>
    <w:rsid w:val="0BEE7724"/>
    <w:rsid w:val="0C2F39E8"/>
    <w:rsid w:val="0C991E81"/>
    <w:rsid w:val="0E283217"/>
    <w:rsid w:val="0F3365CC"/>
    <w:rsid w:val="1006074F"/>
    <w:rsid w:val="11C03E6A"/>
    <w:rsid w:val="14490959"/>
    <w:rsid w:val="156D6BCD"/>
    <w:rsid w:val="187302AD"/>
    <w:rsid w:val="19054345"/>
    <w:rsid w:val="19FA3EFD"/>
    <w:rsid w:val="1B3D2C76"/>
    <w:rsid w:val="1CD72953"/>
    <w:rsid w:val="1D48666B"/>
    <w:rsid w:val="1F83285A"/>
    <w:rsid w:val="209C35A2"/>
    <w:rsid w:val="22B43265"/>
    <w:rsid w:val="22D27473"/>
    <w:rsid w:val="239B79D1"/>
    <w:rsid w:val="24E34441"/>
    <w:rsid w:val="269D4D6F"/>
    <w:rsid w:val="279C33F1"/>
    <w:rsid w:val="29092C74"/>
    <w:rsid w:val="293B4C62"/>
    <w:rsid w:val="30095951"/>
    <w:rsid w:val="31DB1D1F"/>
    <w:rsid w:val="31F56916"/>
    <w:rsid w:val="320A5828"/>
    <w:rsid w:val="3293516E"/>
    <w:rsid w:val="35507F9E"/>
    <w:rsid w:val="37904CB8"/>
    <w:rsid w:val="37D965C8"/>
    <w:rsid w:val="3A095006"/>
    <w:rsid w:val="3A4B1689"/>
    <w:rsid w:val="3B2C7D89"/>
    <w:rsid w:val="3B9E6CEA"/>
    <w:rsid w:val="3DE47543"/>
    <w:rsid w:val="406036A2"/>
    <w:rsid w:val="40CA7833"/>
    <w:rsid w:val="40CC0C4E"/>
    <w:rsid w:val="43A03EF3"/>
    <w:rsid w:val="47023B59"/>
    <w:rsid w:val="481C27FD"/>
    <w:rsid w:val="4BA12829"/>
    <w:rsid w:val="4BA256D6"/>
    <w:rsid w:val="4BD57CB9"/>
    <w:rsid w:val="4BE01EEF"/>
    <w:rsid w:val="4D7C7637"/>
    <w:rsid w:val="4DF527B4"/>
    <w:rsid w:val="511919EA"/>
    <w:rsid w:val="51C3351D"/>
    <w:rsid w:val="529565A5"/>
    <w:rsid w:val="53414C0C"/>
    <w:rsid w:val="537E3184"/>
    <w:rsid w:val="53E6565F"/>
    <w:rsid w:val="53F27CCE"/>
    <w:rsid w:val="540710E0"/>
    <w:rsid w:val="56404BDA"/>
    <w:rsid w:val="587E56DD"/>
    <w:rsid w:val="58D069A9"/>
    <w:rsid w:val="58DC43DF"/>
    <w:rsid w:val="61044467"/>
    <w:rsid w:val="62040187"/>
    <w:rsid w:val="666F3346"/>
    <w:rsid w:val="67232DE6"/>
    <w:rsid w:val="67AA61A8"/>
    <w:rsid w:val="67CD36A5"/>
    <w:rsid w:val="6A265DE6"/>
    <w:rsid w:val="6A445DAB"/>
    <w:rsid w:val="6AB932EA"/>
    <w:rsid w:val="6D535020"/>
    <w:rsid w:val="6EE1068F"/>
    <w:rsid w:val="6F2C6383"/>
    <w:rsid w:val="6FD21A1C"/>
    <w:rsid w:val="72FF16DE"/>
    <w:rsid w:val="772079A7"/>
    <w:rsid w:val="7761717A"/>
    <w:rsid w:val="776D14A3"/>
    <w:rsid w:val="78041DBB"/>
    <w:rsid w:val="79C2352C"/>
    <w:rsid w:val="7A30501C"/>
    <w:rsid w:val="7ACD7BFA"/>
    <w:rsid w:val="7B536653"/>
    <w:rsid w:val="7B68597D"/>
    <w:rsid w:val="7C2E3478"/>
    <w:rsid w:val="7D3A35D2"/>
    <w:rsid w:val="7DE72053"/>
    <w:rsid w:val="7E7F0C80"/>
    <w:rsid w:val="7F5942A3"/>
    <w:rsid w:val="7FF044CE"/>
    <w:rsid w:val="7FFA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2018-09-25T08:08:00Z</dcterms:created>
  <dc:creator>Administrator</dc:creator>
  <cp:lastModifiedBy>Administrator</cp:lastModifiedBy>
  <dcterms:modified xsi:type="dcterms:W3CDTF">2021-11-05T07:23:40Z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E4D5BCF1156847ECAB65466449E4E51A</vt:lpwstr>
  </property>
</Properties>
</file>