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1628">
      <w:pPr>
        <w:ind w:firstLine="1205" w:firstLineChars="400"/>
        <w:jc w:val="both"/>
        <w:rPr>
          <w:rFonts w:hint="eastAsia" w:ascii="宋体" w:hAnsi="宋体" w:cs="宋体"/>
          <w:b/>
          <w:bCs/>
          <w:color w:val="333333"/>
          <w:kern w:val="0"/>
          <w:sz w:val="30"/>
          <w:szCs w:val="30"/>
          <w:lang w:val="en-US" w:eastAsia="zh-CN"/>
        </w:rPr>
      </w:pPr>
      <w:r>
        <w:rPr>
          <w:rFonts w:hint="eastAsia" w:ascii="宋体" w:hAnsi="宋体" w:cs="宋体"/>
          <w:b/>
          <w:bCs/>
          <w:color w:val="333333"/>
          <w:kern w:val="0"/>
          <w:sz w:val="30"/>
          <w:szCs w:val="30"/>
          <w:lang w:val="en-US" w:eastAsia="zh-CN"/>
        </w:rPr>
        <w:t>福州市连江生态环境局2023年12月-2024年3月行政处罚下达决定书</w:t>
      </w:r>
      <w:r>
        <w:rPr>
          <w:rFonts w:hint="eastAsia" w:ascii="宋体" w:hAnsi="宋体" w:cs="宋体"/>
          <w:b/>
          <w:bCs/>
          <w:color w:val="333333"/>
          <w:kern w:val="0"/>
          <w:sz w:val="30"/>
          <w:szCs w:val="30"/>
          <w:lang w:val="en-US" w:eastAsia="zh-CN"/>
        </w:rPr>
        <w:fldChar w:fldCharType="begin"/>
      </w:r>
      <w:r>
        <w:rPr>
          <w:rFonts w:hint="eastAsia" w:ascii="宋体" w:hAnsi="宋体" w:cs="宋体"/>
          <w:b/>
          <w:bCs/>
          <w:color w:val="333333"/>
          <w:kern w:val="0"/>
          <w:sz w:val="30"/>
          <w:szCs w:val="30"/>
          <w:lang w:val="en-US" w:eastAsia="zh-CN"/>
        </w:rPr>
        <w:instrText xml:space="preserve"> HYPERLINK "http://www.fzlj.gov.cn/xjwz/zwgk/zfxxgkzdgz/hjbh/hjzf/202505/t20250514_5018670.htm" \o "福州市连江生态环境局2025年行政处罚下达决定书情况表（2025年5月14日）" \t "http://www.fzlj.gov.cn/xjwz/zwgk/zfxxgkzdgz/hjbh/hjzf/_blank" </w:instrText>
      </w:r>
      <w:r>
        <w:rPr>
          <w:rFonts w:hint="eastAsia" w:ascii="宋体" w:hAnsi="宋体" w:cs="宋体"/>
          <w:b/>
          <w:bCs/>
          <w:color w:val="333333"/>
          <w:kern w:val="0"/>
          <w:sz w:val="30"/>
          <w:szCs w:val="30"/>
          <w:lang w:val="en-US" w:eastAsia="zh-CN"/>
        </w:rPr>
        <w:fldChar w:fldCharType="separate"/>
      </w:r>
      <w:r>
        <w:rPr>
          <w:rFonts w:hint="eastAsia" w:ascii="宋体" w:hAnsi="宋体" w:cs="宋体"/>
          <w:b/>
          <w:bCs/>
          <w:color w:val="333333"/>
          <w:kern w:val="0"/>
          <w:sz w:val="30"/>
          <w:szCs w:val="30"/>
          <w:lang w:val="en-US" w:eastAsia="zh-CN"/>
        </w:rPr>
        <w:t>情况表</w:t>
      </w:r>
      <w:r>
        <w:rPr>
          <w:rFonts w:hint="eastAsia" w:ascii="宋体" w:hAnsi="宋体" w:cs="宋体"/>
          <w:b/>
          <w:bCs/>
          <w:color w:val="333333"/>
          <w:kern w:val="0"/>
          <w:sz w:val="30"/>
          <w:szCs w:val="30"/>
          <w:lang w:val="en-US" w:eastAsia="zh-CN"/>
        </w:rPr>
        <w:fldChar w:fldCharType="end"/>
      </w:r>
      <w:bookmarkStart w:id="0" w:name="_GoBack"/>
      <w:bookmarkEnd w:id="0"/>
    </w:p>
    <w:tbl>
      <w:tblPr>
        <w:tblStyle w:val="5"/>
        <w:tblpPr w:leftFromText="180" w:rightFromText="180" w:vertAnchor="page" w:horzAnchor="page" w:tblpXSpec="center" w:tblpY="1798"/>
        <w:tblOverlap w:val="never"/>
        <w:tblW w:w="16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62"/>
        <w:gridCol w:w="3190"/>
        <w:gridCol w:w="3149"/>
        <w:gridCol w:w="2937"/>
        <w:gridCol w:w="2008"/>
        <w:gridCol w:w="1520"/>
        <w:gridCol w:w="946"/>
      </w:tblGrid>
      <w:tr w14:paraId="354011E5">
        <w:tblPrEx>
          <w:tblCellMar>
            <w:top w:w="0" w:type="dxa"/>
            <w:left w:w="108" w:type="dxa"/>
            <w:bottom w:w="0" w:type="dxa"/>
            <w:right w:w="108" w:type="dxa"/>
          </w:tblCellMar>
        </w:tblPrEx>
        <w:trPr>
          <w:trHeight w:val="526" w:hRule="atLeast"/>
          <w:jc w:val="center"/>
        </w:trPr>
        <w:tc>
          <w:tcPr>
            <w:tcW w:w="749" w:type="dxa"/>
            <w:vAlign w:val="center"/>
          </w:tcPr>
          <w:p w14:paraId="48CAD6CB">
            <w:pPr>
              <w:keepNext w:val="0"/>
              <w:keepLines w:val="0"/>
              <w:widowControl/>
              <w:suppressLineNumbers w:val="0"/>
              <w:spacing w:beforeAutospacing="1" w:afterAutospacing="1"/>
              <w:ind w:left="0" w:leftChars="0" w:right="0" w:rightChars="0"/>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序号</w:t>
            </w:r>
          </w:p>
        </w:tc>
        <w:tc>
          <w:tcPr>
            <w:tcW w:w="1762" w:type="dxa"/>
            <w:vAlign w:val="center"/>
          </w:tcPr>
          <w:p w14:paraId="167DD6E6">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190" w:type="dxa"/>
            <w:vAlign w:val="center"/>
          </w:tcPr>
          <w:p w14:paraId="1001FDF0">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3149" w:type="dxa"/>
            <w:vAlign w:val="center"/>
          </w:tcPr>
          <w:p w14:paraId="09093F8C">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处罚依据</w:t>
            </w:r>
          </w:p>
        </w:tc>
        <w:tc>
          <w:tcPr>
            <w:tcW w:w="2937" w:type="dxa"/>
            <w:vAlign w:val="center"/>
          </w:tcPr>
          <w:p w14:paraId="3AB817A1">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2008" w:type="dxa"/>
            <w:vAlign w:val="center"/>
          </w:tcPr>
          <w:p w14:paraId="10D3067D">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1520" w:type="dxa"/>
            <w:vAlign w:val="center"/>
          </w:tcPr>
          <w:p w14:paraId="720C362C">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946" w:type="dxa"/>
            <w:vAlign w:val="center"/>
          </w:tcPr>
          <w:p w14:paraId="3D4C5C4A">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14:paraId="04BA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0D58D013">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62" w:type="dxa"/>
            <w:vAlign w:val="center"/>
          </w:tcPr>
          <w:p w14:paraId="2F8826E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郑号平</w:t>
            </w:r>
          </w:p>
        </w:tc>
        <w:tc>
          <w:tcPr>
            <w:tcW w:w="3190" w:type="dxa"/>
            <w:shd w:val="clear" w:color="auto" w:fill="auto"/>
            <w:vAlign w:val="center"/>
          </w:tcPr>
          <w:p w14:paraId="56928AA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郑号平焚烧废橡胶</w:t>
            </w:r>
          </w:p>
        </w:tc>
        <w:tc>
          <w:tcPr>
            <w:tcW w:w="3149" w:type="dxa"/>
            <w:shd w:val="clear" w:color="auto" w:fill="auto"/>
            <w:vAlign w:val="center"/>
          </w:tcPr>
          <w:p w14:paraId="4EAD640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default" w:ascii="等线" w:hAnsi="等线" w:eastAsia="等线" w:cs="等线"/>
                <w:i w:val="0"/>
                <w:iCs w:val="0"/>
                <w:color w:val="000000"/>
                <w:kern w:val="0"/>
                <w:sz w:val="22"/>
                <w:szCs w:val="22"/>
                <w:u w:val="none"/>
                <w:lang w:val="en-US" w:eastAsia="zh-CN" w:bidi="ar"/>
              </w:rPr>
              <w:t>《福建省大气污染防治条例》第八十五条</w:t>
            </w:r>
          </w:p>
        </w:tc>
        <w:tc>
          <w:tcPr>
            <w:tcW w:w="2937" w:type="dxa"/>
            <w:shd w:val="clear" w:color="auto" w:fill="auto"/>
            <w:vAlign w:val="center"/>
          </w:tcPr>
          <w:p w14:paraId="4AD3E5C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default" w:ascii="等线" w:hAnsi="等线" w:eastAsia="等线" w:cs="等线"/>
                <w:i w:val="0"/>
                <w:iCs w:val="0"/>
                <w:color w:val="000000"/>
                <w:kern w:val="0"/>
                <w:sz w:val="22"/>
                <w:szCs w:val="22"/>
                <w:u w:val="none"/>
                <w:lang w:val="en-US" w:eastAsia="zh-CN" w:bidi="ar"/>
              </w:rPr>
              <w:t>处以人民币伍佰元整罚款</w:t>
            </w:r>
          </w:p>
        </w:tc>
        <w:tc>
          <w:tcPr>
            <w:tcW w:w="2008" w:type="dxa"/>
            <w:shd w:val="clear" w:color="auto" w:fill="auto"/>
            <w:vAlign w:val="center"/>
          </w:tcPr>
          <w:p w14:paraId="439F8F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2023-12-15</w:t>
            </w:r>
          </w:p>
        </w:tc>
        <w:tc>
          <w:tcPr>
            <w:tcW w:w="1520" w:type="dxa"/>
            <w:shd w:val="clear" w:color="auto" w:fill="auto"/>
            <w:vAlign w:val="center"/>
          </w:tcPr>
          <w:p w14:paraId="5E4CCF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闽榕环罚〔2023〕216号</w:t>
            </w:r>
          </w:p>
        </w:tc>
        <w:tc>
          <w:tcPr>
            <w:tcW w:w="946" w:type="dxa"/>
            <w:vAlign w:val="center"/>
          </w:tcPr>
          <w:p w14:paraId="5A98A053">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r w14:paraId="15B6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19551436">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62" w:type="dxa"/>
            <w:vAlign w:val="center"/>
          </w:tcPr>
          <w:p w14:paraId="6E71C46C">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福建省渝鸿运建设工程有限公司</w:t>
            </w:r>
          </w:p>
        </w:tc>
        <w:tc>
          <w:tcPr>
            <w:tcW w:w="3190" w:type="dxa"/>
            <w:vAlign w:val="center"/>
          </w:tcPr>
          <w:p w14:paraId="4BC6C77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福建省渝鸿运建设工程有限公司潘渡镇溪利村临时配套工程隧道石渣堆和加工后的石子堆场未进行覆盖的行为。</w:t>
            </w:r>
          </w:p>
        </w:tc>
        <w:tc>
          <w:tcPr>
            <w:tcW w:w="3149" w:type="dxa"/>
            <w:vAlign w:val="center"/>
          </w:tcPr>
          <w:p w14:paraId="003DC01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《中华人民共和国大气污染防治法》第一百一十七条</w:t>
            </w:r>
          </w:p>
        </w:tc>
        <w:tc>
          <w:tcPr>
            <w:tcW w:w="2937" w:type="dxa"/>
            <w:vAlign w:val="center"/>
          </w:tcPr>
          <w:p w14:paraId="0B488B1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处以人民币壹万伍仟肆佰元整罚款</w:t>
            </w:r>
          </w:p>
        </w:tc>
        <w:tc>
          <w:tcPr>
            <w:tcW w:w="2008" w:type="dxa"/>
            <w:vAlign w:val="center"/>
          </w:tcPr>
          <w:p w14:paraId="013034F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2024-03-05</w:t>
            </w:r>
          </w:p>
        </w:tc>
        <w:tc>
          <w:tcPr>
            <w:tcW w:w="1520" w:type="dxa"/>
            <w:shd w:val="clear" w:color="auto" w:fill="auto"/>
            <w:vAlign w:val="center"/>
          </w:tcPr>
          <w:p w14:paraId="79B9F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闽榕环罚〔2024〕62号</w:t>
            </w:r>
          </w:p>
        </w:tc>
        <w:tc>
          <w:tcPr>
            <w:tcW w:w="946" w:type="dxa"/>
            <w:vAlign w:val="center"/>
          </w:tcPr>
          <w:p w14:paraId="7069818E">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r w14:paraId="0A07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4FC467DF">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62" w:type="dxa"/>
            <w:vAlign w:val="center"/>
          </w:tcPr>
          <w:p w14:paraId="7D92DD0C">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福建省渝鸿运建设工程有限公司</w:t>
            </w:r>
          </w:p>
        </w:tc>
        <w:tc>
          <w:tcPr>
            <w:tcW w:w="3190" w:type="dxa"/>
            <w:vAlign w:val="center"/>
          </w:tcPr>
          <w:p w14:paraId="66D56CD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福建省渝鸿运建设工程有限公司蓼沿乡义洋村临时配套工程隧道石渣堆和加工后的石子堆场未进行覆盖的行为。</w:t>
            </w:r>
          </w:p>
        </w:tc>
        <w:tc>
          <w:tcPr>
            <w:tcW w:w="3149" w:type="dxa"/>
            <w:vAlign w:val="center"/>
          </w:tcPr>
          <w:p w14:paraId="42213DF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《中华人民共和国大气污染防治法》第一百一十七条</w:t>
            </w:r>
          </w:p>
        </w:tc>
        <w:tc>
          <w:tcPr>
            <w:tcW w:w="2937" w:type="dxa"/>
            <w:vAlign w:val="center"/>
          </w:tcPr>
          <w:p w14:paraId="0FF74C5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处以人民币壹万伍仟肆佰元整罚款</w:t>
            </w:r>
          </w:p>
        </w:tc>
        <w:tc>
          <w:tcPr>
            <w:tcW w:w="2008" w:type="dxa"/>
            <w:vAlign w:val="center"/>
          </w:tcPr>
          <w:p w14:paraId="556653E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2024-03-05</w:t>
            </w:r>
          </w:p>
        </w:tc>
        <w:tc>
          <w:tcPr>
            <w:tcW w:w="1520" w:type="dxa"/>
            <w:vAlign w:val="center"/>
          </w:tcPr>
          <w:p w14:paraId="08EE07B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闽榕环罚〔2024〕61号</w:t>
            </w:r>
          </w:p>
        </w:tc>
        <w:tc>
          <w:tcPr>
            <w:tcW w:w="946" w:type="dxa"/>
            <w:vAlign w:val="center"/>
          </w:tcPr>
          <w:p w14:paraId="0804180A">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r w14:paraId="121C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5CEA76E0">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62" w:type="dxa"/>
            <w:vAlign w:val="center"/>
          </w:tcPr>
          <w:p w14:paraId="7B7E21AD">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福建省连江县宏晟矿业有限公司</w:t>
            </w:r>
          </w:p>
        </w:tc>
        <w:tc>
          <w:tcPr>
            <w:tcW w:w="3190" w:type="dxa"/>
            <w:vAlign w:val="center"/>
          </w:tcPr>
          <w:p w14:paraId="13486DE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省连江县宏晟矿业有限公司砂石加工项目未办理环评手续，已建设有破碎设备1套，输送带1套，洗砂设备1套；配套建设环保设施有污水罐2个，喷淋设备1套，雾炮机3台，沉淀池3个，洒水车1辆，简易厂房1幢等设备。</w:t>
            </w:r>
          </w:p>
        </w:tc>
        <w:tc>
          <w:tcPr>
            <w:tcW w:w="3149" w:type="dxa"/>
            <w:vAlign w:val="center"/>
          </w:tcPr>
          <w:p w14:paraId="72ED717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《中华人民共和国环境影响评价法》第三十一条第一款</w:t>
            </w:r>
          </w:p>
        </w:tc>
        <w:tc>
          <w:tcPr>
            <w:tcW w:w="2937" w:type="dxa"/>
            <w:vAlign w:val="center"/>
          </w:tcPr>
          <w:p w14:paraId="744A3B6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处以人民币壹万叁仟陆佰元整罚款</w:t>
            </w:r>
          </w:p>
        </w:tc>
        <w:tc>
          <w:tcPr>
            <w:tcW w:w="2008" w:type="dxa"/>
            <w:vAlign w:val="center"/>
          </w:tcPr>
          <w:p w14:paraId="3608A31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2024-03-07</w:t>
            </w:r>
          </w:p>
        </w:tc>
        <w:tc>
          <w:tcPr>
            <w:tcW w:w="1520" w:type="dxa"/>
            <w:vAlign w:val="center"/>
          </w:tcPr>
          <w:p w14:paraId="0AEC48A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闽榕环罚〔2024〕51号</w:t>
            </w:r>
          </w:p>
        </w:tc>
        <w:tc>
          <w:tcPr>
            <w:tcW w:w="946" w:type="dxa"/>
            <w:vAlign w:val="center"/>
          </w:tcPr>
          <w:p w14:paraId="1AA02EBE">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r w14:paraId="2DCE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08CC4DB9">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62" w:type="dxa"/>
            <w:vAlign w:val="center"/>
          </w:tcPr>
          <w:p w14:paraId="25A18479">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福州环美家具有限公司</w:t>
            </w:r>
          </w:p>
        </w:tc>
        <w:tc>
          <w:tcPr>
            <w:tcW w:w="3190" w:type="dxa"/>
            <w:vAlign w:val="center"/>
          </w:tcPr>
          <w:p w14:paraId="7549C63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该公司3个喷漆房和木工车间正在生产，福州市连江环境监测站人员对该公司的三个厂界点和两个敏感点进行昼间噪声检测,根据监测报告（连环测委〔2023〕025号）监测结果，该公司西南面厂界外1米昼间噪声值为72.9db(A)，超过《工业企业厂界环境噪声排放标准》(GB12348-2008)表1中3类区标准即昼间≤65dB(A)</w:t>
            </w:r>
          </w:p>
        </w:tc>
        <w:tc>
          <w:tcPr>
            <w:tcW w:w="3149" w:type="dxa"/>
            <w:vAlign w:val="center"/>
          </w:tcPr>
          <w:p w14:paraId="661BF8A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《中华人民共和国噪声污染防治法》第七十五条</w:t>
            </w:r>
          </w:p>
        </w:tc>
        <w:tc>
          <w:tcPr>
            <w:tcW w:w="2937" w:type="dxa"/>
            <w:vAlign w:val="center"/>
          </w:tcPr>
          <w:p w14:paraId="4D6CD34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处以人民币贰万伍仟壹佰元整罚款</w:t>
            </w:r>
          </w:p>
        </w:tc>
        <w:tc>
          <w:tcPr>
            <w:tcW w:w="2008" w:type="dxa"/>
            <w:vAlign w:val="center"/>
          </w:tcPr>
          <w:p w14:paraId="38BB887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2024-03-07</w:t>
            </w:r>
          </w:p>
        </w:tc>
        <w:tc>
          <w:tcPr>
            <w:tcW w:w="1520" w:type="dxa"/>
            <w:vAlign w:val="center"/>
          </w:tcPr>
          <w:p w14:paraId="45530E8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闽榕环罚〔2024〕48号</w:t>
            </w:r>
          </w:p>
        </w:tc>
        <w:tc>
          <w:tcPr>
            <w:tcW w:w="946" w:type="dxa"/>
            <w:vAlign w:val="center"/>
          </w:tcPr>
          <w:p w14:paraId="2474CF89">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r w14:paraId="3817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6534C633">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62" w:type="dxa"/>
            <w:vAlign w:val="center"/>
          </w:tcPr>
          <w:p w14:paraId="5B6C944E">
            <w:pPr>
              <w:keepNext w:val="0"/>
              <w:keepLines w:val="0"/>
              <w:widowControl/>
              <w:suppressLineNumbers w:val="0"/>
              <w:jc w:val="center"/>
              <w:textAlignment w:val="bottom"/>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福建天成佳业建筑工程有限公司</w:t>
            </w:r>
          </w:p>
        </w:tc>
        <w:tc>
          <w:tcPr>
            <w:tcW w:w="3190" w:type="dxa"/>
            <w:vAlign w:val="center"/>
          </w:tcPr>
          <w:p w14:paraId="7A9C4C1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福建天成佳业建筑工程有限公司机制砂建设项目未办理环保审批手续开工建设</w:t>
            </w:r>
          </w:p>
        </w:tc>
        <w:tc>
          <w:tcPr>
            <w:tcW w:w="3149" w:type="dxa"/>
            <w:vAlign w:val="center"/>
          </w:tcPr>
          <w:p w14:paraId="0DF3266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《中华人民共和国环境影响评价法》第三十一条第一款</w:t>
            </w:r>
          </w:p>
        </w:tc>
        <w:tc>
          <w:tcPr>
            <w:tcW w:w="2937" w:type="dxa"/>
            <w:vAlign w:val="center"/>
          </w:tcPr>
          <w:p w14:paraId="1E15C53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处以人民币壹万贰仟伍佰元整罚款</w:t>
            </w:r>
          </w:p>
        </w:tc>
        <w:tc>
          <w:tcPr>
            <w:tcW w:w="2008" w:type="dxa"/>
            <w:vAlign w:val="center"/>
          </w:tcPr>
          <w:p w14:paraId="64C70AC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2024-03-20</w:t>
            </w:r>
          </w:p>
        </w:tc>
        <w:tc>
          <w:tcPr>
            <w:tcW w:w="1520" w:type="dxa"/>
            <w:vAlign w:val="center"/>
          </w:tcPr>
          <w:p w14:paraId="5316D36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闽榕环罚〔2024〕55号</w:t>
            </w:r>
          </w:p>
        </w:tc>
        <w:tc>
          <w:tcPr>
            <w:tcW w:w="946" w:type="dxa"/>
            <w:vAlign w:val="center"/>
          </w:tcPr>
          <w:p w14:paraId="61736651">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r w14:paraId="6B15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49" w:type="dxa"/>
            <w:vAlign w:val="center"/>
          </w:tcPr>
          <w:p w14:paraId="626C00F4">
            <w:pPr>
              <w:keepNext w:val="0"/>
              <w:keepLines w:val="0"/>
              <w:widowControl/>
              <w:suppressLineNumbers w:val="0"/>
              <w:spacing w:beforeAutospacing="1" w:afterAutospacing="1" w:line="240" w:lineRule="auto"/>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62" w:type="dxa"/>
            <w:shd w:val="clear" w:color="auto" w:fill="auto"/>
            <w:vAlign w:val="center"/>
          </w:tcPr>
          <w:p w14:paraId="209A9DC0">
            <w:pPr>
              <w:keepNext w:val="0"/>
              <w:keepLines w:val="0"/>
              <w:widowControl/>
              <w:suppressLineNumbers w:val="0"/>
              <w:jc w:val="center"/>
              <w:textAlignment w:val="bottom"/>
              <w:rPr>
                <w:rFonts w:hint="default" w:ascii="等线" w:hAnsi="等线" w:eastAsia="等线" w:cs="等线"/>
                <w:i w:val="0"/>
                <w:iCs w:val="0"/>
                <w:color w:val="000000"/>
                <w:kern w:val="2"/>
                <w:sz w:val="22"/>
                <w:szCs w:val="22"/>
                <w:u w:val="none"/>
                <w:lang w:val="en-US" w:eastAsia="zh-CN" w:bidi="ar-SA"/>
              </w:rPr>
            </w:pPr>
            <w:r>
              <w:rPr>
                <w:rFonts w:hint="default" w:ascii="等线" w:hAnsi="等线" w:eastAsia="等线" w:cs="等线"/>
                <w:i w:val="0"/>
                <w:iCs w:val="0"/>
                <w:color w:val="000000"/>
                <w:kern w:val="0"/>
                <w:sz w:val="22"/>
                <w:szCs w:val="22"/>
                <w:u w:val="none"/>
                <w:lang w:val="en-US" w:eastAsia="zh-CN" w:bidi="ar"/>
              </w:rPr>
              <w:t>福建省连江县兴源水产有限公司</w:t>
            </w:r>
          </w:p>
        </w:tc>
        <w:tc>
          <w:tcPr>
            <w:tcW w:w="3190" w:type="dxa"/>
            <w:vAlign w:val="center"/>
          </w:tcPr>
          <w:p w14:paraId="69D3B7F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福建省连江县兴源水产有限公司生蚝汤生产项目及4吨天然气锅炉项目未办理环保审批手续开工建设</w:t>
            </w:r>
          </w:p>
        </w:tc>
        <w:tc>
          <w:tcPr>
            <w:tcW w:w="3149" w:type="dxa"/>
            <w:vAlign w:val="center"/>
          </w:tcPr>
          <w:p w14:paraId="47CC572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《中华人民共和国环境影响评价法》第三十一条第一款</w:t>
            </w:r>
          </w:p>
        </w:tc>
        <w:tc>
          <w:tcPr>
            <w:tcW w:w="2937" w:type="dxa"/>
            <w:vAlign w:val="center"/>
          </w:tcPr>
          <w:p w14:paraId="3DE3CB8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default" w:ascii="等线" w:hAnsi="等线" w:eastAsia="等线" w:cs="等线"/>
                <w:i w:val="0"/>
                <w:iCs w:val="0"/>
                <w:color w:val="000000"/>
                <w:kern w:val="0"/>
                <w:sz w:val="22"/>
                <w:szCs w:val="22"/>
                <w:u w:val="none"/>
                <w:lang w:val="en-US" w:eastAsia="zh-CN" w:bidi="ar"/>
              </w:rPr>
              <w:t>处以人民币柒仟柒佰元整罚款</w:t>
            </w:r>
          </w:p>
        </w:tc>
        <w:tc>
          <w:tcPr>
            <w:tcW w:w="2008" w:type="dxa"/>
            <w:vAlign w:val="center"/>
          </w:tcPr>
          <w:p w14:paraId="37FD6C0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2024-03-20</w:t>
            </w:r>
          </w:p>
        </w:tc>
        <w:tc>
          <w:tcPr>
            <w:tcW w:w="1520" w:type="dxa"/>
            <w:vAlign w:val="center"/>
          </w:tcPr>
          <w:p w14:paraId="3FA7D0D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宋体" w:hAnsi="宋体" w:eastAsia="宋体" w:cs="宋体"/>
                <w:i w:val="0"/>
                <w:iCs w:val="0"/>
                <w:color w:val="000000"/>
                <w:kern w:val="0"/>
                <w:sz w:val="22"/>
                <w:szCs w:val="22"/>
                <w:u w:val="none"/>
                <w:lang w:val="en-US" w:eastAsia="zh-CN" w:bidi="ar"/>
              </w:rPr>
              <w:t>闽榕环罚〔2024〕54号</w:t>
            </w:r>
          </w:p>
        </w:tc>
        <w:tc>
          <w:tcPr>
            <w:tcW w:w="946" w:type="dxa"/>
            <w:vAlign w:val="center"/>
          </w:tcPr>
          <w:p w14:paraId="6E2182BA">
            <w:pPr>
              <w:keepNext w:val="0"/>
              <w:keepLines w:val="0"/>
              <w:widowControl/>
              <w:suppressLineNumbers w:val="0"/>
              <w:spacing w:beforeAutospacing="1" w:afterAutospacing="1" w:line="240" w:lineRule="auto"/>
              <w:ind w:left="0" w:leftChars="0" w:right="0" w:rightChars="0"/>
              <w:jc w:val="center"/>
              <w:rPr>
                <w:rFonts w:hint="eastAsia" w:ascii="仿宋" w:hAnsi="仿宋" w:eastAsia="仿宋" w:cs="仿宋"/>
                <w:sz w:val="24"/>
                <w:szCs w:val="24"/>
                <w:lang w:val="en-US" w:eastAsia="zh-CN"/>
              </w:rPr>
            </w:pPr>
          </w:p>
        </w:tc>
      </w:tr>
    </w:tbl>
    <w:p w14:paraId="34317CFF">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1D25F71"/>
    <w:rsid w:val="021540AB"/>
    <w:rsid w:val="02800948"/>
    <w:rsid w:val="04387354"/>
    <w:rsid w:val="061F1F7B"/>
    <w:rsid w:val="065F2E91"/>
    <w:rsid w:val="07E630B7"/>
    <w:rsid w:val="092A5360"/>
    <w:rsid w:val="094D3B01"/>
    <w:rsid w:val="099D675C"/>
    <w:rsid w:val="0BEE7724"/>
    <w:rsid w:val="0C2F39E8"/>
    <w:rsid w:val="0C991E81"/>
    <w:rsid w:val="0D8E3BC8"/>
    <w:rsid w:val="0DCC4E9E"/>
    <w:rsid w:val="0E283217"/>
    <w:rsid w:val="0F3365CC"/>
    <w:rsid w:val="1006074F"/>
    <w:rsid w:val="11C03E6A"/>
    <w:rsid w:val="14490959"/>
    <w:rsid w:val="156D6BCD"/>
    <w:rsid w:val="187302AD"/>
    <w:rsid w:val="18C1421B"/>
    <w:rsid w:val="18CF7274"/>
    <w:rsid w:val="19054345"/>
    <w:rsid w:val="199827F6"/>
    <w:rsid w:val="19FA3EFD"/>
    <w:rsid w:val="1B3D2C76"/>
    <w:rsid w:val="1CD72953"/>
    <w:rsid w:val="1D48666B"/>
    <w:rsid w:val="1F030450"/>
    <w:rsid w:val="1F83285A"/>
    <w:rsid w:val="1FEF1878"/>
    <w:rsid w:val="209C35A2"/>
    <w:rsid w:val="22B43265"/>
    <w:rsid w:val="22B9144D"/>
    <w:rsid w:val="22D27473"/>
    <w:rsid w:val="239B79D1"/>
    <w:rsid w:val="24E34441"/>
    <w:rsid w:val="269D4D6F"/>
    <w:rsid w:val="279C33F1"/>
    <w:rsid w:val="29092C74"/>
    <w:rsid w:val="293B4C62"/>
    <w:rsid w:val="2DDF2B8B"/>
    <w:rsid w:val="2EAA2E16"/>
    <w:rsid w:val="30095951"/>
    <w:rsid w:val="30754897"/>
    <w:rsid w:val="31DB1D1F"/>
    <w:rsid w:val="31F56916"/>
    <w:rsid w:val="320A5828"/>
    <w:rsid w:val="3293516E"/>
    <w:rsid w:val="35507F9E"/>
    <w:rsid w:val="37904CB8"/>
    <w:rsid w:val="37D965C8"/>
    <w:rsid w:val="38053799"/>
    <w:rsid w:val="38B94006"/>
    <w:rsid w:val="3A095006"/>
    <w:rsid w:val="3A4B1689"/>
    <w:rsid w:val="3B2C7D89"/>
    <w:rsid w:val="3B9E6CEA"/>
    <w:rsid w:val="3C75284A"/>
    <w:rsid w:val="3DE47543"/>
    <w:rsid w:val="3F7855AB"/>
    <w:rsid w:val="406036A2"/>
    <w:rsid w:val="40CA7833"/>
    <w:rsid w:val="40CC0C4E"/>
    <w:rsid w:val="413258C0"/>
    <w:rsid w:val="434A5E9F"/>
    <w:rsid w:val="43A03EF3"/>
    <w:rsid w:val="47023B59"/>
    <w:rsid w:val="481C27FD"/>
    <w:rsid w:val="4B7C3281"/>
    <w:rsid w:val="4BA12829"/>
    <w:rsid w:val="4BA256D6"/>
    <w:rsid w:val="4BD57CB9"/>
    <w:rsid w:val="4BE01EEF"/>
    <w:rsid w:val="4D7C7637"/>
    <w:rsid w:val="4DF527B4"/>
    <w:rsid w:val="50170539"/>
    <w:rsid w:val="511919EA"/>
    <w:rsid w:val="51910D2E"/>
    <w:rsid w:val="51C3351D"/>
    <w:rsid w:val="529565A5"/>
    <w:rsid w:val="53414C0C"/>
    <w:rsid w:val="534A0476"/>
    <w:rsid w:val="537E3184"/>
    <w:rsid w:val="53E6565F"/>
    <w:rsid w:val="53F27CCE"/>
    <w:rsid w:val="540710E0"/>
    <w:rsid w:val="54376AF2"/>
    <w:rsid w:val="550F501D"/>
    <w:rsid w:val="56404BDA"/>
    <w:rsid w:val="57B23369"/>
    <w:rsid w:val="587E56DD"/>
    <w:rsid w:val="58D069A9"/>
    <w:rsid w:val="58DC43DF"/>
    <w:rsid w:val="5E287912"/>
    <w:rsid w:val="61044467"/>
    <w:rsid w:val="62040187"/>
    <w:rsid w:val="623C6D56"/>
    <w:rsid w:val="66574B3B"/>
    <w:rsid w:val="666F3346"/>
    <w:rsid w:val="67232DE6"/>
    <w:rsid w:val="67AA61A8"/>
    <w:rsid w:val="67CD36A5"/>
    <w:rsid w:val="6A265DE6"/>
    <w:rsid w:val="6A445DAB"/>
    <w:rsid w:val="6AB932EA"/>
    <w:rsid w:val="6D535020"/>
    <w:rsid w:val="6ED168B0"/>
    <w:rsid w:val="6EE1068F"/>
    <w:rsid w:val="6F2C6383"/>
    <w:rsid w:val="6FD21A1C"/>
    <w:rsid w:val="72FD7A30"/>
    <w:rsid w:val="72FF16DE"/>
    <w:rsid w:val="74600669"/>
    <w:rsid w:val="754F091A"/>
    <w:rsid w:val="772079A7"/>
    <w:rsid w:val="77321A35"/>
    <w:rsid w:val="7761717A"/>
    <w:rsid w:val="776D14A3"/>
    <w:rsid w:val="78041DBB"/>
    <w:rsid w:val="782437ED"/>
    <w:rsid w:val="79C2352C"/>
    <w:rsid w:val="7A30501C"/>
    <w:rsid w:val="7ACD7BFA"/>
    <w:rsid w:val="7B4521E7"/>
    <w:rsid w:val="7B536653"/>
    <w:rsid w:val="7B68597D"/>
    <w:rsid w:val="7C2E3478"/>
    <w:rsid w:val="7D3A35D2"/>
    <w:rsid w:val="7DB055D3"/>
    <w:rsid w:val="7DE72053"/>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69</Words>
  <Characters>77</Characters>
  <Lines>0</Lines>
  <Paragraphs>0</Paragraphs>
  <TotalTime>10</TotalTime>
  <ScaleCrop>false</ScaleCrop>
  <LinksUpToDate>false</LinksUpToDate>
  <CharactersWithSpaces>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dcterms:modified xsi:type="dcterms:W3CDTF">2025-05-19T09:21:21Z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0FE42CF13DC44646B5CE2FD8CD1537E0_13</vt:lpwstr>
  </property>
  <property fmtid="{D5CDD505-2E9C-101B-9397-08002B2CF9AE}" pid="4" name="KSOTemplateDocerSaveRecord">
    <vt:lpwstr>eyJoZGlkIjoiZTBmYWM1MTQxYmEyMzE2ZWU2OGE1M2IxODUyNzJmMzYiLCJ1c2VySWQiOiI1NjA5OTgwNTUifQ==</vt:lpwstr>
  </property>
</Properties>
</file>