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807" w:firstLineChars="500"/>
        <w:rPr>
          <w:rFonts w:hint="eastAsia" w:ascii="楷体_GB2312" w:eastAsia="楷体_GB2312"/>
          <w:b/>
          <w:bCs/>
          <w:color w:val="auto"/>
          <w:sz w:val="36"/>
        </w:rPr>
      </w:pPr>
      <w:r>
        <w:rPr>
          <w:rFonts w:hint="eastAsia" w:ascii="楷体_GB2312" w:eastAsia="楷体_GB2312"/>
          <w:b/>
          <w:bCs/>
          <w:color w:val="auto"/>
          <w:sz w:val="36"/>
          <w:u w:val="single"/>
        </w:rPr>
        <w:t>连江</w:t>
      </w:r>
      <w:r>
        <w:rPr>
          <w:rFonts w:hint="eastAsia" w:ascii="楷体_GB2312" w:eastAsia="楷体_GB2312"/>
          <w:b/>
          <w:bCs/>
          <w:color w:val="auto"/>
          <w:sz w:val="36"/>
        </w:rPr>
        <w:t>县环境质量月通报报表</w:t>
      </w:r>
    </w:p>
    <w:p>
      <w:pPr>
        <w:jc w:val="center"/>
        <w:rPr>
          <w:rFonts w:hint="eastAsia" w:ascii="楷体_GB2312" w:eastAsia="楷体_GB2312"/>
          <w:b/>
          <w:bCs/>
          <w:color w:val="auto"/>
          <w:sz w:val="28"/>
        </w:rPr>
      </w:pPr>
      <w:r>
        <w:rPr>
          <w:rFonts w:hint="eastAsia" w:ascii="楷体_GB2312" w:eastAsia="楷体_GB2312"/>
          <w:b/>
          <w:bCs/>
          <w:color w:val="auto"/>
          <w:sz w:val="28"/>
          <w:u w:val="single"/>
          <w:lang w:val="en-US" w:eastAsia="zh-CN"/>
        </w:rPr>
        <w:t>2024</w:t>
      </w:r>
      <w:r>
        <w:rPr>
          <w:rFonts w:hint="eastAsia" w:ascii="楷体_GB2312" w:eastAsia="楷体_GB2312"/>
          <w:b/>
          <w:bCs/>
          <w:color w:val="auto"/>
          <w:sz w:val="28"/>
        </w:rPr>
        <w:t>年</w:t>
      </w:r>
      <w:r>
        <w:rPr>
          <w:rFonts w:hint="eastAsia" w:ascii="楷体_GB2312" w:eastAsia="楷体_GB2312"/>
          <w:b/>
          <w:bCs/>
          <w:color w:val="auto"/>
          <w:sz w:val="28"/>
          <w:lang w:val="en-US" w:eastAsia="zh-CN"/>
        </w:rPr>
        <w:t>2</w:t>
      </w:r>
      <w:r>
        <w:rPr>
          <w:rFonts w:hint="eastAsia" w:ascii="楷体_GB2312" w:eastAsia="楷体_GB2312"/>
          <w:b/>
          <w:bCs/>
          <w:color w:val="auto"/>
          <w:sz w:val="28"/>
        </w:rPr>
        <w:t>月</w:t>
      </w:r>
    </w:p>
    <w:p>
      <w:pPr>
        <w:numPr>
          <w:ilvl w:val="0"/>
          <w:numId w:val="0"/>
        </w:numPr>
        <w:spacing w:before="156" w:beforeLines="50" w:after="156" w:afterLines="50" w:line="480" w:lineRule="auto"/>
        <w:ind w:leftChars="0"/>
        <w:rPr>
          <w:rFonts w:hint="default" w:ascii="楷体_GB2312" w:eastAsia="楷体_GB2312"/>
          <w:b/>
          <w:bCs/>
          <w:color w:val="auto"/>
          <w:sz w:val="32"/>
          <w:szCs w:val="32"/>
          <w:highlight w:val="none"/>
          <w:vertAlign w:val="superscript"/>
          <w:lang w:val="en-US" w:eastAsia="zh-CN"/>
        </w:rPr>
      </w:pPr>
      <w:r>
        <w:rPr>
          <w:rFonts w:hint="eastAsia" w:eastAsia="楷体_GB2312"/>
          <w:b/>
          <w:bCs/>
          <w:color w:val="auto"/>
          <w:sz w:val="28"/>
          <w:highlight w:val="none"/>
          <w:lang w:eastAsia="zh-CN"/>
        </w:rPr>
        <w:t>一、</w:t>
      </w:r>
      <w:r>
        <w:rPr>
          <w:rFonts w:hint="eastAsia" w:eastAsia="楷体_GB2312"/>
          <w:b/>
          <w:bCs/>
          <w:color w:val="auto"/>
          <w:sz w:val="28"/>
          <w:highlight w:val="none"/>
        </w:rPr>
        <w:t xml:space="preserve">大气环境质量 </w:t>
      </w:r>
      <w:r>
        <w:rPr>
          <w:rFonts w:hint="eastAsia"/>
          <w:color w:val="auto"/>
          <w:highlight w:val="none"/>
        </w:rPr>
        <w:t xml:space="preserve">          </w:t>
      </w:r>
      <w:r>
        <w:rPr>
          <w:rFonts w:hint="eastAsia" w:ascii="楷体_GB2312" w:eastAsia="楷体_GB2312"/>
          <w:b/>
          <w:bCs/>
          <w:color w:val="auto"/>
          <w:sz w:val="28"/>
          <w:highlight w:val="none"/>
          <w:lang w:val="en-US" w:eastAsia="zh-CN"/>
        </w:rPr>
        <w:t xml:space="preserve">          </w:t>
      </w:r>
      <w:r>
        <w:rPr>
          <w:rFonts w:hint="eastAsia" w:ascii="楷体_GB2312" w:eastAsia="楷体_GB2312"/>
          <w:b/>
          <w:bCs/>
          <w:color w:val="auto"/>
          <w:sz w:val="28"/>
          <w:highlight w:val="none"/>
        </w:rPr>
        <w:t xml:space="preserve">         </w:t>
      </w:r>
    </w:p>
    <w:tbl>
      <w:tblPr>
        <w:tblStyle w:val="5"/>
        <w:tblW w:w="9835" w:type="dxa"/>
        <w:jc w:val="center"/>
        <w:tbl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single" w:color="000000" w:themeColor="text1" w:sz="8" w:space="0"/>
          <w:insideV w:val="single" w:color="000000" w:themeColor="text1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2"/>
        <w:gridCol w:w="1143"/>
        <w:gridCol w:w="1179"/>
        <w:gridCol w:w="1228"/>
        <w:gridCol w:w="1217"/>
        <w:gridCol w:w="1277"/>
        <w:gridCol w:w="1191"/>
        <w:gridCol w:w="1448"/>
      </w:tblGrid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  <w:jc w:val="center"/>
        </w:trPr>
        <w:tc>
          <w:tcPr>
            <w:tcW w:w="115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监测项目</w:t>
            </w:r>
          </w:p>
        </w:tc>
        <w:tc>
          <w:tcPr>
            <w:tcW w:w="114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bscript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SO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bscript"/>
                <w:lang w:eastAsia="zh-CN"/>
              </w:rPr>
              <w:t>2</w:t>
            </w:r>
          </w:p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ug/m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perscript"/>
                <w:lang w:val="en-US" w:eastAsia="zh-CN"/>
              </w:rPr>
              <w:t>3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117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CO</w:t>
            </w:r>
          </w:p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mg/m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perscript"/>
                <w:lang w:val="en-US" w:eastAsia="zh-CN"/>
              </w:rPr>
              <w:t>3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122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NO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bscript"/>
                <w:lang w:eastAsia="zh-CN"/>
              </w:rPr>
              <w:t>2</w:t>
            </w:r>
          </w:p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ug/m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perscript"/>
                <w:lang w:val="en-US" w:eastAsia="zh-CN"/>
              </w:rPr>
              <w:t>3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121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bscript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O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bscript"/>
                <w:lang w:eastAsia="zh-CN"/>
              </w:rPr>
              <w:t>3</w:t>
            </w:r>
          </w:p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ug/m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perscript"/>
                <w:lang w:val="en-US" w:eastAsia="zh-CN"/>
              </w:rPr>
              <w:t>3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127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PM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bscript"/>
                <w:lang w:eastAsia="zh-CN"/>
              </w:rPr>
              <w:t>10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ug/m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perscript"/>
                <w:lang w:val="en-US" w:eastAsia="zh-CN"/>
              </w:rPr>
              <w:t>3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PM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bscript"/>
                <w:lang w:eastAsia="zh-CN"/>
              </w:rPr>
              <w:t>2.5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ug/m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perscript"/>
                <w:lang w:val="en-US" w:eastAsia="zh-CN"/>
              </w:rPr>
              <w:t>3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降尘</w:t>
            </w:r>
          </w:p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t/（km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1"/>
                <w:szCs w:val="21"/>
                <w:highlight w:val="none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▪30d）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15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月均值</w:t>
            </w:r>
          </w:p>
        </w:tc>
        <w:tc>
          <w:tcPr>
            <w:tcW w:w="114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7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0.6</w:t>
            </w:r>
          </w:p>
        </w:tc>
        <w:tc>
          <w:tcPr>
            <w:tcW w:w="122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21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74</w:t>
            </w:r>
          </w:p>
        </w:tc>
        <w:tc>
          <w:tcPr>
            <w:tcW w:w="127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1.9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15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备注</w:t>
            </w:r>
          </w:p>
        </w:tc>
        <w:tc>
          <w:tcPr>
            <w:tcW w:w="8683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ind w:firstLine="480" w:firstLineChars="200"/>
              <w:jc w:val="left"/>
              <w:rPr>
                <w:rFonts w:hint="default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202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4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年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2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月份连江县城环境空气有效监测天数为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28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天，达标天数为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27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天，达标率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96.4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%，其中一级达标天数为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22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天，二级达标天数为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5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天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。</w:t>
            </w:r>
          </w:p>
        </w:tc>
      </w:tr>
    </w:tbl>
    <w:p>
      <w:pPr>
        <w:numPr>
          <w:ilvl w:val="0"/>
          <w:numId w:val="0"/>
        </w:numPr>
        <w:spacing w:before="156" w:beforeLines="50" w:after="156" w:afterLines="50" w:line="480" w:lineRule="auto"/>
        <w:rPr>
          <w:rFonts w:hint="eastAsia" w:eastAsia="楷体_GB2312"/>
          <w:b/>
          <w:bCs/>
          <w:color w:val="auto"/>
          <w:sz w:val="28"/>
          <w:highlight w:val="none"/>
        </w:rPr>
      </w:pPr>
      <w:r>
        <w:rPr>
          <w:rFonts w:hint="eastAsia" w:eastAsia="楷体_GB2312"/>
          <w:b/>
          <w:bCs/>
          <w:color w:val="auto"/>
          <w:sz w:val="28"/>
          <w:highlight w:val="none"/>
          <w:lang w:eastAsia="zh-CN"/>
        </w:rPr>
        <w:t>二、</w:t>
      </w:r>
      <w:r>
        <w:rPr>
          <w:rFonts w:hint="eastAsia" w:eastAsia="楷体_GB2312"/>
          <w:b/>
          <w:bCs/>
          <w:color w:val="auto"/>
          <w:sz w:val="28"/>
          <w:highlight w:val="none"/>
        </w:rPr>
        <w:t>水环境质量</w:t>
      </w:r>
    </w:p>
    <w:tbl>
      <w:tblPr>
        <w:tblStyle w:val="4"/>
        <w:tblW w:w="98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6"/>
        <w:gridCol w:w="1874"/>
        <w:gridCol w:w="1573"/>
        <w:gridCol w:w="2010"/>
        <w:gridCol w:w="964"/>
        <w:gridCol w:w="1059"/>
        <w:gridCol w:w="1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  <w:jc w:val="center"/>
        </w:trPr>
        <w:tc>
          <w:tcPr>
            <w:tcW w:w="13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水域类型</w:t>
            </w:r>
          </w:p>
        </w:tc>
        <w:tc>
          <w:tcPr>
            <w:tcW w:w="18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水域名称</w:t>
            </w:r>
          </w:p>
        </w:tc>
        <w:tc>
          <w:tcPr>
            <w:tcW w:w="15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ind w:right="-195" w:rightChars="-93" w:firstLine="241" w:firstLineChars="100"/>
              <w:jc w:val="both"/>
              <w:rPr>
                <w:rFonts w:ascii="楷体_GB2312" w:eastAsia="楷体_GB2312"/>
                <w:b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执行标准</w:t>
            </w:r>
          </w:p>
        </w:tc>
        <w:tc>
          <w:tcPr>
            <w:tcW w:w="20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ind w:left="-11" w:leftChars="-32" w:hanging="56" w:hangingChars="28"/>
              <w:jc w:val="center"/>
              <w:rPr>
                <w:rFonts w:ascii="楷体_GB2312" w:eastAsia="楷体_GB2312"/>
                <w:b/>
                <w:bCs/>
                <w:color w:val="000000" w:themeColor="text1"/>
                <w:spacing w:val="-2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/>
                <w:bCs/>
                <w:color w:val="000000" w:themeColor="text1"/>
                <w:spacing w:val="-2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本月份水质类别</w:t>
            </w:r>
          </w:p>
        </w:tc>
        <w:tc>
          <w:tcPr>
            <w:tcW w:w="9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超标</w:t>
            </w:r>
          </w:p>
          <w:p>
            <w:pPr>
              <w:jc w:val="center"/>
              <w:rPr>
                <w:rFonts w:ascii="楷体_GB2312" w:eastAsia="楷体_GB2312"/>
                <w:b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</w:tc>
        <w:tc>
          <w:tcPr>
            <w:tcW w:w="10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color w:val="000000" w:themeColor="text1"/>
                <w:spacing w:val="-2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/>
                <w:bCs/>
                <w:color w:val="000000" w:themeColor="text1"/>
                <w:spacing w:val="-2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超标</w:t>
            </w:r>
          </w:p>
          <w:p>
            <w:pPr>
              <w:jc w:val="center"/>
              <w:rPr>
                <w:rFonts w:ascii="楷体_GB2312" w:eastAsia="楷体_GB2312"/>
                <w:b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/>
                <w:bCs/>
                <w:color w:val="000000" w:themeColor="text1"/>
                <w:spacing w:val="-2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倍数</w:t>
            </w:r>
          </w:p>
        </w:tc>
        <w:tc>
          <w:tcPr>
            <w:tcW w:w="10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楷体_GB2312" w:eastAsia="楷体_GB2312"/>
                <w:b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达标率</w:t>
            </w:r>
          </w:p>
          <w:p>
            <w:pPr>
              <w:jc w:val="center"/>
              <w:rPr>
                <w:rFonts w:ascii="楷体_GB2312" w:eastAsia="楷体_GB2312"/>
                <w:b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exact"/>
          <w:jc w:val="center"/>
        </w:trPr>
        <w:tc>
          <w:tcPr>
            <w:tcW w:w="13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水源地</w:t>
            </w:r>
          </w:p>
        </w:tc>
        <w:tc>
          <w:tcPr>
            <w:tcW w:w="18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塘坂</w:t>
            </w:r>
          </w:p>
        </w:tc>
        <w:tc>
          <w:tcPr>
            <w:tcW w:w="15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地表水Ⅲ类</w:t>
            </w:r>
          </w:p>
        </w:tc>
        <w:tc>
          <w:tcPr>
            <w:tcW w:w="20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pacing w:val="-2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地表水</w:t>
            </w: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Ⅰ</w:t>
            </w: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9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Arial Narrow" w:hAnsi="Arial Narrow" w:eastAsia="楷体_GB2312" w:cs="Arial Narrow"/>
                <w:color w:val="000000" w:themeColor="text1"/>
                <w:spacing w:val="-2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---</w:t>
            </w:r>
          </w:p>
        </w:tc>
        <w:tc>
          <w:tcPr>
            <w:tcW w:w="10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Arial Narrow" w:hAnsi="Arial Narrow" w:eastAsia="楷体_GB2312" w:cs="Arial Narrow"/>
                <w:color w:val="000000" w:themeColor="text1"/>
                <w:spacing w:val="-2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---</w:t>
            </w:r>
          </w:p>
        </w:tc>
        <w:tc>
          <w:tcPr>
            <w:tcW w:w="10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exact"/>
          <w:jc w:val="center"/>
        </w:trPr>
        <w:tc>
          <w:tcPr>
            <w:tcW w:w="13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地表水</w:t>
            </w:r>
          </w:p>
        </w:tc>
        <w:tc>
          <w:tcPr>
            <w:tcW w:w="18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贵安</w:t>
            </w:r>
          </w:p>
        </w:tc>
        <w:tc>
          <w:tcPr>
            <w:tcW w:w="15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地表水Ⅲ类</w:t>
            </w:r>
          </w:p>
        </w:tc>
        <w:tc>
          <w:tcPr>
            <w:tcW w:w="20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地表水Ⅱ类</w:t>
            </w:r>
          </w:p>
        </w:tc>
        <w:tc>
          <w:tcPr>
            <w:tcW w:w="9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---</w:t>
            </w:r>
          </w:p>
        </w:tc>
        <w:tc>
          <w:tcPr>
            <w:tcW w:w="10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---</w:t>
            </w:r>
          </w:p>
        </w:tc>
        <w:tc>
          <w:tcPr>
            <w:tcW w:w="10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exact"/>
          <w:jc w:val="center"/>
        </w:trPr>
        <w:tc>
          <w:tcPr>
            <w:tcW w:w="13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地表水</w:t>
            </w:r>
          </w:p>
        </w:tc>
        <w:tc>
          <w:tcPr>
            <w:tcW w:w="18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长汀</w:t>
            </w:r>
          </w:p>
        </w:tc>
        <w:tc>
          <w:tcPr>
            <w:tcW w:w="15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地表水Ⅲ类</w:t>
            </w:r>
          </w:p>
        </w:tc>
        <w:tc>
          <w:tcPr>
            <w:tcW w:w="20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地表水Ⅱ类</w:t>
            </w:r>
          </w:p>
        </w:tc>
        <w:tc>
          <w:tcPr>
            <w:tcW w:w="9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---</w:t>
            </w:r>
          </w:p>
        </w:tc>
        <w:tc>
          <w:tcPr>
            <w:tcW w:w="10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---</w:t>
            </w:r>
          </w:p>
        </w:tc>
        <w:tc>
          <w:tcPr>
            <w:tcW w:w="10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exact"/>
          <w:jc w:val="center"/>
        </w:trPr>
        <w:tc>
          <w:tcPr>
            <w:tcW w:w="13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地表水</w:t>
            </w:r>
          </w:p>
        </w:tc>
        <w:tc>
          <w:tcPr>
            <w:tcW w:w="18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陀市桥</w:t>
            </w:r>
          </w:p>
        </w:tc>
        <w:tc>
          <w:tcPr>
            <w:tcW w:w="15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地表水Ⅲ类</w:t>
            </w:r>
          </w:p>
        </w:tc>
        <w:tc>
          <w:tcPr>
            <w:tcW w:w="20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地表水Ⅳ类</w:t>
            </w:r>
          </w:p>
        </w:tc>
        <w:tc>
          <w:tcPr>
            <w:tcW w:w="9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总磷</w:t>
            </w:r>
          </w:p>
        </w:tc>
        <w:tc>
          <w:tcPr>
            <w:tcW w:w="10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楷体_GB2312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0.04</w:t>
            </w:r>
          </w:p>
        </w:tc>
        <w:tc>
          <w:tcPr>
            <w:tcW w:w="10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楷体_GB2312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exact"/>
          <w:jc w:val="center"/>
        </w:trPr>
        <w:tc>
          <w:tcPr>
            <w:tcW w:w="13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小流域</w:t>
            </w:r>
          </w:p>
        </w:tc>
        <w:tc>
          <w:tcPr>
            <w:tcW w:w="18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花园溪</w:t>
            </w:r>
          </w:p>
        </w:tc>
        <w:tc>
          <w:tcPr>
            <w:tcW w:w="15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地表水Ⅲ类</w:t>
            </w:r>
          </w:p>
        </w:tc>
        <w:tc>
          <w:tcPr>
            <w:tcW w:w="20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地表水Ⅲ类</w:t>
            </w:r>
          </w:p>
        </w:tc>
        <w:tc>
          <w:tcPr>
            <w:tcW w:w="9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---</w:t>
            </w:r>
          </w:p>
        </w:tc>
        <w:tc>
          <w:tcPr>
            <w:tcW w:w="10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---</w:t>
            </w:r>
          </w:p>
        </w:tc>
        <w:tc>
          <w:tcPr>
            <w:tcW w:w="10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exact"/>
          <w:jc w:val="center"/>
        </w:trPr>
        <w:tc>
          <w:tcPr>
            <w:tcW w:w="13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河流</w:t>
            </w:r>
          </w:p>
        </w:tc>
        <w:tc>
          <w:tcPr>
            <w:tcW w:w="18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连江琯头</w:t>
            </w:r>
          </w:p>
        </w:tc>
        <w:tc>
          <w:tcPr>
            <w:tcW w:w="15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地表水Ⅲ类</w:t>
            </w:r>
          </w:p>
        </w:tc>
        <w:tc>
          <w:tcPr>
            <w:tcW w:w="20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地表水Ⅱ类</w:t>
            </w:r>
          </w:p>
        </w:tc>
        <w:tc>
          <w:tcPr>
            <w:tcW w:w="9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---</w:t>
            </w:r>
          </w:p>
        </w:tc>
        <w:tc>
          <w:tcPr>
            <w:tcW w:w="10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---</w:t>
            </w:r>
          </w:p>
        </w:tc>
        <w:tc>
          <w:tcPr>
            <w:tcW w:w="10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exact"/>
          <w:jc w:val="center"/>
        </w:trPr>
        <w:tc>
          <w:tcPr>
            <w:tcW w:w="13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河流</w:t>
            </w:r>
          </w:p>
        </w:tc>
        <w:tc>
          <w:tcPr>
            <w:tcW w:w="18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荷山渡口</w:t>
            </w:r>
          </w:p>
        </w:tc>
        <w:tc>
          <w:tcPr>
            <w:tcW w:w="15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地表水Ⅲ类</w:t>
            </w:r>
          </w:p>
        </w:tc>
        <w:tc>
          <w:tcPr>
            <w:tcW w:w="20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地表水Ⅲ类</w:t>
            </w:r>
          </w:p>
        </w:tc>
        <w:tc>
          <w:tcPr>
            <w:tcW w:w="9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---</w:t>
            </w:r>
          </w:p>
        </w:tc>
        <w:tc>
          <w:tcPr>
            <w:tcW w:w="10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---</w:t>
            </w:r>
          </w:p>
        </w:tc>
        <w:tc>
          <w:tcPr>
            <w:tcW w:w="10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</w:tbl>
    <w:p>
      <w:pPr>
        <w:numPr>
          <w:ilvl w:val="0"/>
          <w:numId w:val="1"/>
        </w:numPr>
        <w:spacing w:before="156" w:beforeLines="50" w:after="156" w:afterLines="50" w:line="480" w:lineRule="auto"/>
        <w:rPr>
          <w:rFonts w:hint="eastAsia" w:eastAsia="楷体_GB2312"/>
          <w:b/>
          <w:bCs/>
          <w:color w:val="auto"/>
          <w:sz w:val="28"/>
          <w:highlight w:val="none"/>
          <w:lang w:val="en-US" w:eastAsia="zh-CN"/>
        </w:rPr>
      </w:pPr>
      <w:r>
        <w:rPr>
          <w:rFonts w:hint="eastAsia" w:eastAsia="楷体_GB2312"/>
          <w:b/>
          <w:bCs/>
          <w:color w:val="auto"/>
          <w:sz w:val="28"/>
          <w:highlight w:val="none"/>
        </w:rPr>
        <w:t>城市环保基础设施污染物排放情况</w:t>
      </w:r>
      <w:r>
        <w:rPr>
          <w:rFonts w:hint="eastAsia" w:eastAsia="楷体_GB2312"/>
          <w:b/>
          <w:bCs/>
          <w:color w:val="auto"/>
          <w:sz w:val="28"/>
          <w:highlight w:val="none"/>
          <w:lang w:val="en-US" w:eastAsia="zh-CN"/>
        </w:rPr>
        <w:t xml:space="preserve"> </w:t>
      </w:r>
    </w:p>
    <w:tbl>
      <w:tblPr>
        <w:tblStyle w:val="4"/>
        <w:tblW w:w="9838" w:type="dxa"/>
        <w:jc w:val="center"/>
        <w:tbl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single" w:color="000000" w:themeColor="text1" w:sz="8" w:space="0"/>
          <w:insideV w:val="single" w:color="000000" w:themeColor="text1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7"/>
        <w:gridCol w:w="1056"/>
        <w:gridCol w:w="1344"/>
        <w:gridCol w:w="2652"/>
        <w:gridCol w:w="792"/>
        <w:gridCol w:w="1517"/>
      </w:tblGrid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247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4"/>
                <w:highlight w:val="none"/>
                <w:lang w:val="en-US" w:eastAsia="zh-CN"/>
              </w:rPr>
              <w:t>名 称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4"/>
                <w:highlight w:val="none"/>
                <w:lang w:val="en-US" w:eastAsia="zh-CN"/>
              </w:rPr>
              <w:t>污染物类型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4"/>
                <w:highlight w:val="none"/>
                <w:lang w:val="en-US" w:eastAsia="zh-CN"/>
              </w:rPr>
              <w:t>监测时间</w:t>
            </w:r>
          </w:p>
        </w:tc>
        <w:tc>
          <w:tcPr>
            <w:tcW w:w="265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4"/>
                <w:highlight w:val="none"/>
                <w:lang w:val="en-US" w:eastAsia="zh-CN"/>
              </w:rPr>
              <w:t>执行标准</w:t>
            </w:r>
          </w:p>
        </w:tc>
        <w:tc>
          <w:tcPr>
            <w:tcW w:w="79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4"/>
                <w:highlight w:val="none"/>
                <w:lang w:val="en-US" w:eastAsia="zh-CN"/>
              </w:rPr>
              <w:t>达标与否</w:t>
            </w:r>
          </w:p>
        </w:tc>
        <w:tc>
          <w:tcPr>
            <w:tcW w:w="151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4"/>
                <w:highlight w:val="none"/>
                <w:lang w:val="en-US" w:eastAsia="zh-CN"/>
              </w:rPr>
              <w:t>超标项目及超标倍数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3" w:hRule="atLeast"/>
          <w:jc w:val="center"/>
        </w:trPr>
        <w:tc>
          <w:tcPr>
            <w:tcW w:w="247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连江洁伟水务有限公司（粗芦岛污水厂）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</w:p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废水</w:t>
            </w:r>
          </w:p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134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2月20日</w:t>
            </w:r>
          </w:p>
        </w:tc>
        <w:tc>
          <w:tcPr>
            <w:tcW w:w="265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 xml:space="preserve">《城镇污水处理厂污染物排放标准 </w:t>
            </w:r>
          </w:p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GB 18918-2002》一级A</w:t>
            </w:r>
          </w:p>
          <w:p>
            <w:pPr>
              <w:jc w:val="center"/>
              <w:rPr>
                <w:rFonts w:hint="default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79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达标</w:t>
            </w:r>
          </w:p>
        </w:tc>
        <w:tc>
          <w:tcPr>
            <w:tcW w:w="151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---</w:t>
            </w:r>
          </w:p>
        </w:tc>
      </w:tr>
    </w:tbl>
    <w:p>
      <w:pPr>
        <w:ind w:right="-694"/>
        <w:rPr>
          <w:rFonts w:hint="eastAsia" w:ascii="楷体_GB2312" w:eastAsia="楷体_GB2312"/>
          <w:color w:val="auto"/>
          <w:sz w:val="28"/>
          <w:highlight w:val="none"/>
        </w:rPr>
      </w:pPr>
      <w:r>
        <w:rPr>
          <w:rFonts w:hint="eastAsia" w:ascii="楷体_GB2312" w:eastAsia="楷体_GB2312"/>
          <w:color w:val="auto"/>
          <w:sz w:val="28"/>
          <w:highlight w:val="none"/>
          <w:lang w:val="en-US" w:eastAsia="zh-CN"/>
        </w:rPr>
        <w:t xml:space="preserve">                                         </w:t>
      </w:r>
      <w:r>
        <w:rPr>
          <w:rFonts w:hint="eastAsia" w:ascii="楷体_GB2312" w:eastAsia="楷体_GB2312"/>
          <w:color w:val="auto"/>
          <w:sz w:val="28"/>
          <w:highlight w:val="none"/>
          <w:lang w:eastAsia="zh-CN"/>
        </w:rPr>
        <w:t>福州市连江</w:t>
      </w:r>
      <w:r>
        <w:rPr>
          <w:rFonts w:hint="eastAsia" w:ascii="楷体_GB2312" w:eastAsia="楷体_GB2312"/>
          <w:color w:val="auto"/>
          <w:sz w:val="28"/>
          <w:highlight w:val="none"/>
        </w:rPr>
        <w:t>环境监测站</w:t>
      </w:r>
    </w:p>
    <w:p>
      <w:pPr>
        <w:wordWrap w:val="0"/>
        <w:ind w:right="-86" w:rightChars="-41"/>
        <w:jc w:val="both"/>
        <w:rPr>
          <w:color w:val="auto"/>
          <w:highlight w:val="none"/>
        </w:rPr>
      </w:pPr>
      <w:r>
        <w:rPr>
          <w:rFonts w:hint="eastAsia" w:ascii="楷体_GB2312" w:eastAsia="楷体_GB2312"/>
          <w:color w:val="auto"/>
          <w:sz w:val="28"/>
          <w:highlight w:val="none"/>
        </w:rPr>
        <w:t xml:space="preserve">  </w:t>
      </w:r>
      <w:r>
        <w:rPr>
          <w:rFonts w:hint="eastAsia" w:ascii="楷体_GB2312" w:eastAsia="楷体_GB2312"/>
          <w:color w:val="auto"/>
          <w:sz w:val="28"/>
          <w:highlight w:val="none"/>
          <w:lang w:val="en-US" w:eastAsia="zh-CN"/>
        </w:rPr>
        <w:t xml:space="preserve">                                         </w:t>
      </w:r>
      <w:r>
        <w:rPr>
          <w:rFonts w:hint="eastAsia" w:ascii="楷体_GB2312" w:eastAsia="楷体_GB2312"/>
          <w:color w:val="auto"/>
          <w:sz w:val="28"/>
          <w:highlight w:val="none"/>
        </w:rPr>
        <w:t xml:space="preserve"> </w:t>
      </w:r>
      <w:r>
        <w:rPr>
          <w:rFonts w:hint="eastAsia" w:ascii="楷体_GB2312" w:eastAsia="楷体_GB2312"/>
          <w:color w:val="auto"/>
          <w:sz w:val="28"/>
          <w:highlight w:val="none"/>
          <w:lang w:val="en-US" w:eastAsia="zh-CN"/>
        </w:rPr>
        <w:t>2024</w:t>
      </w:r>
      <w:r>
        <w:rPr>
          <w:rFonts w:hint="eastAsia" w:ascii="楷体_GB2312" w:hAnsi="楷体_GB2312" w:eastAsia="楷体_GB2312" w:cs="楷体_GB2312"/>
          <w:color w:val="auto"/>
          <w:sz w:val="28"/>
          <w:highlight w:val="none"/>
        </w:rPr>
        <w:t>年</w:t>
      </w:r>
      <w:r>
        <w:rPr>
          <w:rFonts w:hint="eastAsia" w:ascii="楷体_GB2312" w:hAnsi="楷体_GB2312" w:eastAsia="楷体_GB2312" w:cs="楷体_GB2312"/>
          <w:color w:val="auto"/>
          <w:sz w:val="28"/>
          <w:highlight w:val="none"/>
          <w:lang w:val="en-US" w:eastAsia="zh-CN"/>
        </w:rPr>
        <w:t>3</w:t>
      </w:r>
      <w:r>
        <w:rPr>
          <w:rFonts w:hint="eastAsia" w:ascii="楷体_GB2312" w:hAnsi="楷体_GB2312" w:eastAsia="楷体_GB2312" w:cs="楷体_GB2312"/>
          <w:color w:val="auto"/>
          <w:sz w:val="28"/>
          <w:highlight w:val="none"/>
        </w:rPr>
        <w:t>月</w:t>
      </w:r>
      <w:r>
        <w:rPr>
          <w:rFonts w:hint="eastAsia" w:ascii="楷体_GB2312" w:hAnsi="楷体_GB2312" w:eastAsia="楷体_GB2312" w:cs="楷体_GB2312"/>
          <w:color w:val="auto"/>
          <w:sz w:val="28"/>
          <w:highlight w:val="none"/>
          <w:lang w:val="en-US" w:eastAsia="zh-CN"/>
        </w:rPr>
        <w:t>12</w:t>
      </w:r>
      <w:r>
        <w:rPr>
          <w:rFonts w:hint="eastAsia" w:ascii="楷体_GB2312" w:hAnsi="楷体_GB2312" w:eastAsia="楷体_GB2312" w:cs="楷体_GB2312"/>
          <w:color w:val="auto"/>
          <w:sz w:val="28"/>
          <w:highlight w:val="none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2000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9B6F8D2"/>
    <w:multiLevelType w:val="singleLevel"/>
    <w:tmpl w:val="F9B6F8D2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3NGNjZjY2ZTY4NzE1NTRiYTgzYWYwMTQ2MTY3YjgifQ=="/>
  </w:docVars>
  <w:rsids>
    <w:rsidRoot w:val="00000000"/>
    <w:rsid w:val="010721BE"/>
    <w:rsid w:val="03C625F7"/>
    <w:rsid w:val="04313BC8"/>
    <w:rsid w:val="04BE52DC"/>
    <w:rsid w:val="05535626"/>
    <w:rsid w:val="067E1822"/>
    <w:rsid w:val="09C9042F"/>
    <w:rsid w:val="09F537CA"/>
    <w:rsid w:val="0B7849E6"/>
    <w:rsid w:val="0B834780"/>
    <w:rsid w:val="0BA53A2D"/>
    <w:rsid w:val="0BD25EA5"/>
    <w:rsid w:val="0D5D202E"/>
    <w:rsid w:val="0DE00483"/>
    <w:rsid w:val="0E5232CD"/>
    <w:rsid w:val="0EAF5F52"/>
    <w:rsid w:val="0EDE780A"/>
    <w:rsid w:val="10BB215E"/>
    <w:rsid w:val="11616519"/>
    <w:rsid w:val="124D59CE"/>
    <w:rsid w:val="125A0833"/>
    <w:rsid w:val="136B396B"/>
    <w:rsid w:val="139D37F3"/>
    <w:rsid w:val="1404504E"/>
    <w:rsid w:val="14092680"/>
    <w:rsid w:val="14F0383F"/>
    <w:rsid w:val="15064605"/>
    <w:rsid w:val="16163CDB"/>
    <w:rsid w:val="16EB3D9C"/>
    <w:rsid w:val="18FC27B3"/>
    <w:rsid w:val="1AB7679C"/>
    <w:rsid w:val="1B4641B9"/>
    <w:rsid w:val="1B4B17D0"/>
    <w:rsid w:val="1BA679E7"/>
    <w:rsid w:val="1BE22134"/>
    <w:rsid w:val="1C1D368F"/>
    <w:rsid w:val="1EF367E3"/>
    <w:rsid w:val="1F7D32A7"/>
    <w:rsid w:val="20601879"/>
    <w:rsid w:val="213B034D"/>
    <w:rsid w:val="21BA145D"/>
    <w:rsid w:val="21C5052E"/>
    <w:rsid w:val="227A747F"/>
    <w:rsid w:val="22B9675F"/>
    <w:rsid w:val="23425567"/>
    <w:rsid w:val="23B048C6"/>
    <w:rsid w:val="23FC63B3"/>
    <w:rsid w:val="252D08B3"/>
    <w:rsid w:val="268E2BCB"/>
    <w:rsid w:val="26AC3B1E"/>
    <w:rsid w:val="26DE7B36"/>
    <w:rsid w:val="271E408F"/>
    <w:rsid w:val="27FA25B3"/>
    <w:rsid w:val="28162914"/>
    <w:rsid w:val="288E0F4E"/>
    <w:rsid w:val="29433FD2"/>
    <w:rsid w:val="294862C6"/>
    <w:rsid w:val="296C74E1"/>
    <w:rsid w:val="29C9048F"/>
    <w:rsid w:val="2BC20A49"/>
    <w:rsid w:val="2C3047F6"/>
    <w:rsid w:val="2D8C63A3"/>
    <w:rsid w:val="2E756DF2"/>
    <w:rsid w:val="2E7939E2"/>
    <w:rsid w:val="2EC30B3D"/>
    <w:rsid w:val="2ED21F8D"/>
    <w:rsid w:val="2FCA088C"/>
    <w:rsid w:val="303909FD"/>
    <w:rsid w:val="304F36B8"/>
    <w:rsid w:val="31840B89"/>
    <w:rsid w:val="31906A8B"/>
    <w:rsid w:val="35F94F74"/>
    <w:rsid w:val="36712E0A"/>
    <w:rsid w:val="37DB37B8"/>
    <w:rsid w:val="391A0D07"/>
    <w:rsid w:val="392F078E"/>
    <w:rsid w:val="3951224F"/>
    <w:rsid w:val="39AE1F41"/>
    <w:rsid w:val="39B867BB"/>
    <w:rsid w:val="3AB605BC"/>
    <w:rsid w:val="3ABC1F08"/>
    <w:rsid w:val="3B7A12D5"/>
    <w:rsid w:val="3C2D6FA3"/>
    <w:rsid w:val="3D7926E7"/>
    <w:rsid w:val="3DC66BDB"/>
    <w:rsid w:val="3DDF7E2A"/>
    <w:rsid w:val="3DE81DA0"/>
    <w:rsid w:val="3F010273"/>
    <w:rsid w:val="3F5B7984"/>
    <w:rsid w:val="40750F19"/>
    <w:rsid w:val="408F1FDB"/>
    <w:rsid w:val="418E58C6"/>
    <w:rsid w:val="432B32C7"/>
    <w:rsid w:val="435C016E"/>
    <w:rsid w:val="441D5B50"/>
    <w:rsid w:val="47613FA5"/>
    <w:rsid w:val="4AE32671"/>
    <w:rsid w:val="4B586016"/>
    <w:rsid w:val="4B7A581E"/>
    <w:rsid w:val="4BA601D9"/>
    <w:rsid w:val="4C7C282A"/>
    <w:rsid w:val="4F066434"/>
    <w:rsid w:val="4F6A40CF"/>
    <w:rsid w:val="4FDC193B"/>
    <w:rsid w:val="50A23C1A"/>
    <w:rsid w:val="517366A0"/>
    <w:rsid w:val="51932FAD"/>
    <w:rsid w:val="51D24179"/>
    <w:rsid w:val="58161163"/>
    <w:rsid w:val="58920462"/>
    <w:rsid w:val="5970613B"/>
    <w:rsid w:val="59A36B69"/>
    <w:rsid w:val="5A2C0443"/>
    <w:rsid w:val="5A6F3F69"/>
    <w:rsid w:val="5AAF422B"/>
    <w:rsid w:val="5BAC14FE"/>
    <w:rsid w:val="5CCC1A69"/>
    <w:rsid w:val="5ECC7AFE"/>
    <w:rsid w:val="5F77358C"/>
    <w:rsid w:val="5F9F1466"/>
    <w:rsid w:val="60065292"/>
    <w:rsid w:val="6065020A"/>
    <w:rsid w:val="607F6EF5"/>
    <w:rsid w:val="61FC06FB"/>
    <w:rsid w:val="62500A46"/>
    <w:rsid w:val="62922C9C"/>
    <w:rsid w:val="62E23025"/>
    <w:rsid w:val="63DC1CBF"/>
    <w:rsid w:val="647C3D75"/>
    <w:rsid w:val="64B957DA"/>
    <w:rsid w:val="64EF4547"/>
    <w:rsid w:val="6659611C"/>
    <w:rsid w:val="66654EA8"/>
    <w:rsid w:val="68893F55"/>
    <w:rsid w:val="68A32487"/>
    <w:rsid w:val="68A4112C"/>
    <w:rsid w:val="69493123"/>
    <w:rsid w:val="69C064B2"/>
    <w:rsid w:val="6A002D52"/>
    <w:rsid w:val="6A7C062B"/>
    <w:rsid w:val="6AB7303C"/>
    <w:rsid w:val="6AF427BD"/>
    <w:rsid w:val="6B571B8A"/>
    <w:rsid w:val="6BF95CAB"/>
    <w:rsid w:val="6C152AE5"/>
    <w:rsid w:val="6CA95E2A"/>
    <w:rsid w:val="6CC02282"/>
    <w:rsid w:val="6CD1036A"/>
    <w:rsid w:val="6E315A22"/>
    <w:rsid w:val="6E677844"/>
    <w:rsid w:val="6E8D188A"/>
    <w:rsid w:val="7086098F"/>
    <w:rsid w:val="71357785"/>
    <w:rsid w:val="716E4E14"/>
    <w:rsid w:val="717B5AE0"/>
    <w:rsid w:val="732A24D6"/>
    <w:rsid w:val="73734595"/>
    <w:rsid w:val="737547B1"/>
    <w:rsid w:val="73C93E15"/>
    <w:rsid w:val="752112CF"/>
    <w:rsid w:val="76856AB9"/>
    <w:rsid w:val="76A34D0F"/>
    <w:rsid w:val="76AC2297"/>
    <w:rsid w:val="77A128CD"/>
    <w:rsid w:val="788F5EC9"/>
    <w:rsid w:val="798741FF"/>
    <w:rsid w:val="7AE75F94"/>
    <w:rsid w:val="7C492337"/>
    <w:rsid w:val="7CA67789"/>
    <w:rsid w:val="7CC4784A"/>
    <w:rsid w:val="7CC9670B"/>
    <w:rsid w:val="7D223654"/>
    <w:rsid w:val="7D651784"/>
    <w:rsid w:val="7DE73CD5"/>
    <w:rsid w:val="7DFA4230"/>
    <w:rsid w:val="7F04267A"/>
    <w:rsid w:val="7F7B6CAB"/>
    <w:rsid w:val="7FD8778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411</Words>
  <Characters>547</Characters>
  <Lines>0</Lines>
  <Paragraphs>0</Paragraphs>
  <TotalTime>28</TotalTime>
  <ScaleCrop>false</ScaleCrop>
  <LinksUpToDate>false</LinksUpToDate>
  <CharactersWithSpaces>665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fdsdsdsd</dc:creator>
  <cp:lastModifiedBy>Administrator</cp:lastModifiedBy>
  <cp:lastPrinted>2022-12-09T00:59:00Z</cp:lastPrinted>
  <dcterms:modified xsi:type="dcterms:W3CDTF">2024-03-12T01:26:44Z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7ACD4034CCA64360BB970E2ACB539809</vt:lpwstr>
  </property>
</Properties>
</file>