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0648">
      <w:pPr>
        <w:widowControl w:val="0"/>
        <w:spacing w:line="366" w:lineRule="exact"/>
        <w:ind w:left="218" w:leftChars="104" w:right="246" w:rightChars="117" w:firstLine="48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0B2DB371">
      <w:pPr>
        <w:widowControl w:val="0"/>
        <w:spacing w:line="366" w:lineRule="exact"/>
        <w:ind w:left="218" w:leftChars="104" w:right="246" w:rightChars="117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4BFF5D12">
      <w:pPr>
        <w:widowControl w:val="0"/>
        <w:spacing w:line="366" w:lineRule="exact"/>
        <w:ind w:right="246" w:rightChars="117"/>
        <w:jc w:val="right"/>
        <w:rPr>
          <w:rFonts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榕连环评〔202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 w14:paraId="13112586">
      <w:pPr>
        <w:pStyle w:val="17"/>
        <w:rPr>
          <w:color w:val="auto"/>
          <w:sz w:val="32"/>
          <w:szCs w:val="32"/>
          <w:lang w:val="zh-CN"/>
        </w:rPr>
      </w:pPr>
    </w:p>
    <w:p w14:paraId="4E84F667">
      <w:pPr>
        <w:pStyle w:val="17"/>
        <w:spacing w:line="640" w:lineRule="exact"/>
        <w:ind w:firstLine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福建锦程高科实业有限公司年产110000吨高性能纺织新材料扩建项目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环境影响报告表</w:t>
      </w:r>
    </w:p>
    <w:p w14:paraId="29FECE47">
      <w:pPr>
        <w:pStyle w:val="17"/>
        <w:spacing w:line="640" w:lineRule="exact"/>
        <w:ind w:firstLine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的审批意见</w:t>
      </w:r>
    </w:p>
    <w:p w14:paraId="6FF84DA8">
      <w:pPr>
        <w:pStyle w:val="17"/>
        <w:spacing w:line="640" w:lineRule="exact"/>
        <w:ind w:firstLine="0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zh-CN"/>
        </w:rPr>
      </w:pPr>
    </w:p>
    <w:p w14:paraId="5055F70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jc w:val="both"/>
        <w:textAlignment w:val="baseline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福建锦程高科实业有限公司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：</w:t>
      </w:r>
    </w:p>
    <w:p w14:paraId="3C7DDB98">
      <w:pPr>
        <w:pStyle w:val="17"/>
        <w:keepNext w:val="0"/>
        <w:keepLines w:val="0"/>
        <w:pageBreakBefore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zh-CN" w:eastAsia="zh-CN" w:bidi="ar-SA"/>
        </w:rPr>
        <w:t>你公司报送的《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年产110000吨高性能纺织新材料扩建项目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zh-CN" w:eastAsia="zh-CN" w:bidi="ar-SA"/>
        </w:rPr>
        <w:t>环境影响报告表》（以下简称《报告表》）及相关申请审批的材料收悉。根据《环境影响评价法》第22条等规定，现提出审批意见如下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：</w:t>
      </w:r>
    </w:p>
    <w:p w14:paraId="37B36380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一、拟建项目位于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连江县东湖镇瑞安路5号福建锦程高科实业有限公司现有厂区红线范围内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。</w:t>
      </w:r>
      <w:bookmarkStart w:id="0" w:name="现有生产规模"/>
      <w:bookmarkStart w:id="1" w:name="总规模"/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建设性质为扩建。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我局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于2012年12月以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连环审表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128号批复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锦纶差异化纤维生产线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项目环境影响报告表，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2015年2月出具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《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关于福建锦程高科实业有限公司锦纶差异化纤维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项目环评补充说明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的意见函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》</w:t>
      </w:r>
      <w:r>
        <w:rPr>
          <w:rFonts w:hint="eastAsia"/>
          <w:color w:val="auto"/>
          <w:sz w:val="21"/>
          <w:szCs w:val="21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本次拟扩建项目主要建设内容为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利用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现有厂区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已批未建空置用地进行扩建，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扩建项目分两阶段建设，新建1栋5层3#车间，建筑面积65136.79m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vertAlign w:val="superscript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，分为A车间、B车间，A车间为扩建项目第一阶段用地，B车间为第二阶段项目用地，从车间5层至1层，布置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投料车间及切片车间，螺杆车间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和油剂储存室，纺丝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车间、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真空清洗用房和组件装配用房，卷绕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车间、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辅助（纸管、包装物）用房，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打包车间、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单体抽吸房、组件用房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及成品车间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等；新建1栋6层综合楼，建筑面积为7630.71m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vertAlign w:val="superscript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，以及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2套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纯水制备系统、废气处理设施等公辅工程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和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环保工程。</w:t>
      </w: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建设</w:t>
      </w: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规模为：</w:t>
      </w:r>
      <w:bookmarkEnd w:id="0"/>
      <w:bookmarkEnd w:id="1"/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年产110000吨高性能纺织新材料，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其中第一阶段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年产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锦纶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POY24000吨、锦纶FDY31000吨、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第二阶段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年产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锦纶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FDY55000吨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扩建后，全厂年产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锦纶HOY6445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zh-CN" w:eastAsia="zh-CN" w:bidi="ar"/>
        </w:rPr>
        <w:t>吨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 w:color="000000"/>
          <w:lang w:val="en-US" w:eastAsia="zh-CN" w:bidi="ar"/>
        </w:rPr>
        <w:t>、锦纶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DTY36655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锦纶POY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24000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锦纶FDY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86000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根据《报告表》评价结论，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项目符合国家产业政策，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符合福州市生态环境分区管控要求，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在严格执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行环保“三同时”制度，认真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</w:t>
      </w:r>
      <w:r>
        <w:rPr>
          <w:rFonts w:hint="eastAsia" w:ascii="仿宋" w:hAnsi="仿宋" w:eastAsia="仿宋" w:cs="仿宋"/>
          <w:sz w:val="32"/>
          <w:szCs w:val="32"/>
        </w:rPr>
        <w:t>落实《报告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》提出的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环境风险防范措施后，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从环境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影响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角度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分析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项目建设可行。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同意按照《报告表》所列的地点、性质、规模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生产工艺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和生态环境保护对策措施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。</w:t>
      </w:r>
    </w:p>
    <w:p w14:paraId="3F629A6B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认真落实《报告表》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措施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，确保污染物稳定达标排放和总量控制要求，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项目应按照“以新带老”原则，完善现有工程存在的环保问题，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并重点做好以下工作：</w:t>
      </w:r>
    </w:p>
    <w:p w14:paraId="1EEC59FF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（一）进一步优化项目总平面布局，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合理设置各生产装置及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污染防治设施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。提高清洁生产工艺装备水平，降低能耗、物耗，减少污染物产生量。同时应加强对生产装置的检修与维护，提高操作管理水平，最大程度减少跑、冒、滴、漏。项目工艺、装备、污染治理技术水平以及单位产品能耗、物耗应达到国内同行业清洁生产先进水平。</w:t>
      </w:r>
    </w:p>
    <w:p w14:paraId="4212E731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（二）生态环境保护措施</w:t>
      </w:r>
    </w:p>
    <w:p w14:paraId="4D183E6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1.水污染防治。厂区排水系统应严格实行雨污分流制。项目纺丝用水、组件清洗废水应经收集后进入循环水槽循环使用，不外排，定期更换的废气处理喷淋废液应作为危废处置，定期委托有资质单位处置；设备冷却水应循环使用不外排；纯水制备产生的浓水用于冷却补给水，不外排。地面冲洗水与生活污水应经化粪池预处理后，纳入连江县城区污水处理厂统一处理。</w:t>
      </w:r>
    </w:p>
    <w:p w14:paraId="55D214F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2.大气污染防治。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应规范设置废气收集、处理、排放系统。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项目两阶段纺丝工艺废气分别配套一套单体抽吸水喷淋系统（单体抽吸+水喷射处理+水喷淋塔）处理达标后，分别由1根32米高排气筒（DA003、DA00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5）排放；两阶段FDY牵伸定型废气分别通过负压全部抽出，采用静电油烟净化器设施处理达标后，分别通过一根32米高排气筒（DA004、DA006）排放；两阶段组件清洗废气分别经真空密闭收集，采用静电油烟净化器设施处理后同牵伸定型工序废气同一根32米高排气筒（DA004、DA006）排放。各工序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废气收集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效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率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和处理效率应达到《报告表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》中提出的要求。</w:t>
      </w:r>
    </w:p>
    <w:p w14:paraId="63BCAC82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同时，你公司应加强现有工程废气收集治理，纺丝工艺废气和组件清洗废气分别经收集，采用与扩建项目相同的废气处理工艺处理达标后，分别由1根32米高排气筒（DA001、DA002）排放。食堂油烟应经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国家认证的油烟净化处理设施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处理后通过专用烟道（DA007）引至楼顶排放。</w:t>
      </w:r>
    </w:p>
    <w:p w14:paraId="79D26D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3.</w:t>
      </w:r>
      <w:r>
        <w:rPr>
          <w:rFonts w:hint="eastAsia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  <w:t>噪声污染防治。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优先选用低噪声级设备，对高噪声设备应合理布局，并采取消声、隔声、减振等综合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降噪措施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确保厂界噪声达标排放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。</w:t>
      </w:r>
    </w:p>
    <w:p w14:paraId="7F1162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4.固体废物污染防治。应按规范建设一般工业固体废物贮存场所和危险废物暂存间。</w:t>
      </w:r>
      <w:r>
        <w:rPr>
          <w:rFonts w:hint="eastAsia" w:ascii="仿宋" w:hAnsi="仿宋" w:eastAsia="仿宋" w:cs="仿宋"/>
          <w:sz w:val="32"/>
          <w:szCs w:val="32"/>
        </w:rPr>
        <w:t>应按照“减量化、资源化、无害化”原则，对固体废物进行分类收集、处理和处置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。废包装袋、生产过程产生的废丝、废胶块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等一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般固体废物，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应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收集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后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暂存于固体废物贮存场所，</w:t>
      </w:r>
      <w:r>
        <w:rPr>
          <w:rFonts w:hint="eastAsia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  <w:t>定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期外售给有能力处理的单位回收利用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；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废滤膜、废离子交换树脂应由供应商回收利用；废油剂包装桶应委托原材料供应公司回收利用；不能利用的废油剂包装桶、喷淋废液应按照危险废物进行管理，以及废机油、废油等危险废物，应分类收集密闭后暂存于危险废物暂存间内，及时委托有资质的单位处置，</w:t>
      </w:r>
      <w:r>
        <w:rPr>
          <w:rFonts w:hint="eastAsia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  <w:t>并建立危险废物管理台账，收集、贮存、转移过程应严格执行有关规定要求。冷却循环水沉渣与生活垃圾一起委托环卫部门统一清运处理。</w:t>
      </w:r>
    </w:p>
    <w:p w14:paraId="3B8CAF33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5.环境风险防范。应按照《报告表》提出的要求落实各项环境风险防范措施，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u w:val="none" w:color="000000"/>
          <w:lang w:val="en-US" w:eastAsia="zh-CN" w:bidi="ar-SA"/>
        </w:rPr>
        <w:t>并建立应急联动机制，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加强化学品的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贮存、使用以及危险废物的全程管理，确保厂区周边环境的安全。</w:t>
      </w:r>
    </w:p>
    <w:p w14:paraId="2B8A4A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6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环境管理。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应建立严格的环保管理制度，配备专职环保管理人员，加强对环保设施的日常运行管理与维</w:t>
      </w:r>
      <w:r>
        <w:rPr>
          <w:rFonts w:hint="eastAsia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  <w:t xml:space="preserve">护，定期检查 </w:t>
      </w:r>
      <w:r>
        <w:rPr>
          <w:rFonts w:hint="default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  <w:t xml:space="preserve">VOCs </w:t>
      </w:r>
      <w:r>
        <w:rPr>
          <w:rFonts w:hint="eastAsia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  <w:t>处理设施状况。同时，应落实《报告表》中提出的废气、噪声等自行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监测</w:t>
      </w:r>
      <w:r>
        <w:rPr>
          <w:rFonts w:hint="eastAsia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  <w:t>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划，发现问题，及时整改和报告。</w:t>
      </w:r>
    </w:p>
    <w:p w14:paraId="559C15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7.应建立台账，记录废气收集系统、</w:t>
      </w:r>
      <w:r>
        <w:rPr>
          <w:rFonts w:hint="default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  <w:t xml:space="preserve">VOCs </w:t>
      </w:r>
      <w:r>
        <w:rPr>
          <w:rFonts w:hint="eastAsia" w:ascii="仿宋" w:hAnsi="仿宋" w:eastAsia="仿宋" w:cs="仿宋"/>
          <w:bCs/>
          <w:color w:val="auto"/>
          <w:spacing w:val="0"/>
          <w:w w:val="100"/>
          <w:kern w:val="1"/>
          <w:sz w:val="32"/>
          <w:szCs w:val="32"/>
          <w:u w:val="none" w:color="000000"/>
          <w:lang w:val="en-US" w:eastAsia="zh-CN" w:bidi="ar-SA"/>
        </w:rPr>
        <w:t>处理设施的主要运行和维护信息，如运行时间、废气处理量等运行参数，台账保存期限不少于3年。</w:t>
      </w:r>
    </w:p>
    <w:p w14:paraId="22D7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三、污染物排放执行标准（标准更新按新标准执行）：</w:t>
      </w:r>
    </w:p>
    <w:p w14:paraId="7F8B2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1.废水。废水排放执行《污水综合排放标准》（GB8978-1996）表4中三级标准，其中氨氮排放参照执行《污水排入城镇下水道水质标准》（GB/T31962-2015）表1中B级标准。</w:t>
      </w:r>
    </w:p>
    <w:p w14:paraId="78A18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2.废气。各生产工序排气筒中颗粒物有组织排放执行《大气污染物综合排放标准》（</w:t>
      </w:r>
      <w:r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GB16297-1996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 xml:space="preserve">）表2中浓度限值和最高允许排放速率二级标准，非甲烷总烃有组织排放执行《工业企业挥发性有机物排放标准》（DB35/1782-2018）中表1浓度限值。  </w:t>
      </w:r>
    </w:p>
    <w:p w14:paraId="3E71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厂界颗粒物排放执行《大气污染物综合排放标准》(</w:t>
      </w:r>
      <w:r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GB16297-1996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)表2中无组织排放监控浓度限值，厂界非甲烷总烃排放执行《工业企业挥发性有机物排放标准》（DB35/1782-2018）中表3排放限值。厂区内非甲烷总烃监控点处1h平均浓度值执行《工业企业挥发性有机物排放标准》（DB35/1782-2018）中表2排放限值，厂区内非甲烷总烃监控点处任意一次浓度值执行《挥发性有机物无组织排放控制标准》（GB37822-2019）附录A的表A.1中排放限值。</w:t>
      </w:r>
    </w:p>
    <w:p w14:paraId="762B0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食堂</w:t>
      </w:r>
      <w:r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油烟排放执行《饮食业油烟排放标准（试行）》（GB18483-2001）表2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中小型规模</w:t>
      </w:r>
      <w:r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标准。</w:t>
      </w:r>
    </w:p>
    <w:p w14:paraId="4B05B150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3.噪声。施工期：场界噪声执行《建筑施工场界环境噪声排放标准》（GB12523－2011）；运营期：厂界噪声排放执行《工业企业厂界环境噪声排放标准》（GB12348-2008）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中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3类标准。</w:t>
      </w:r>
    </w:p>
    <w:p w14:paraId="7925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4.固体废物。一般工业固体废物贮存过程执行《</w:t>
      </w:r>
      <w:r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一般工业固体废物贮存和填埋污染控制标准（GB 18599-2020）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》中的</w:t>
      </w:r>
      <w:r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GB" w:eastAsia="zh-CN" w:bidi="ar-SA"/>
        </w:rPr>
        <w:t>相关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规定；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危险废物贮存执行《危险废物贮存污染控制标准》（GB18597-20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23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），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转运执行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《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危险废物转移管理办法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》。</w:t>
      </w:r>
    </w:p>
    <w:p w14:paraId="35D73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四、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主要污染物允许排放总量控制要求：</w:t>
      </w:r>
    </w:p>
    <w:p w14:paraId="46506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本项目COD排放量≤2.391吨/年，氨氮排放量≤0.299吨/年，VOCs排放量≤2.15吨/年，颗粒物排放量≤3.58吨/年。</w:t>
      </w:r>
    </w:p>
    <w:p w14:paraId="686BF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扩建项目建成后，全厂COD排放总量≤4.312吨/年，氨氮排放总量≤0.539吨/年，VOCs排放总量≤2.26吨/年，颗粒物排放总量≤3.877吨/年。全厂不新增COD、氨氮排放总量。</w:t>
      </w:r>
    </w:p>
    <w:p w14:paraId="09415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五、《报告表》审批后，如项目的性质、规模、地点、生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产工艺或环保措施发生重大变动的，应当依法重新报批项目变更的环境影响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评价文件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。</w:t>
      </w:r>
    </w:p>
    <w:p w14:paraId="1ABCF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六、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项目建设应严格执行环保“三同时”制度。项目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竣工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后，应按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照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规定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程序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和标准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开展环保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设施竣工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验收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。项目配套的各项环境保护设施未建成或未经竣工验收合格，项目不得投入生产。</w:t>
      </w:r>
    </w:p>
    <w:p w14:paraId="73A9D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七、项目在投入生产前，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你公司应向我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局申请调剂</w:t>
      </w:r>
      <w:r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zh-CN" w:eastAsia="zh-CN"/>
        </w:rPr>
        <w:t>非甲烷总烃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总量指标，并依法重新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申领排污许可证，按证排污。</w:t>
      </w:r>
    </w:p>
    <w:p w14:paraId="47DF6E5E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我局委托福州市连江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生态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环境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保护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综合执法大队开展该项目环保“三同时”监督检查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和日常环保监督管理工作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。</w:t>
      </w:r>
    </w:p>
    <w:p w14:paraId="2C1659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5120" w:firstLineChars="16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 </w:t>
      </w:r>
    </w:p>
    <w:p w14:paraId="2A1B7A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5120" w:firstLineChars="16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46AB1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5120" w:firstLineChars="1600"/>
        <w:jc w:val="left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福州市生态环境局</w:t>
      </w:r>
    </w:p>
    <w:p w14:paraId="004B88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5120" w:firstLineChars="16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4BD2779">
      <w:pPr>
        <w:pStyle w:val="2"/>
        <w:rPr>
          <w:color w:val="auto"/>
        </w:rPr>
      </w:pPr>
    </w:p>
    <w:p w14:paraId="5FC1F652">
      <w:pPr>
        <w:pStyle w:val="2"/>
        <w:rPr>
          <w:color w:val="auto"/>
          <w:sz w:val="10"/>
          <w:szCs w:val="10"/>
        </w:rPr>
      </w:pPr>
    </w:p>
    <w:p w14:paraId="29BC8EFF">
      <w:pPr>
        <w:pStyle w:val="5"/>
      </w:pPr>
    </w:p>
    <w:p w14:paraId="45820059">
      <w:pPr>
        <w:pStyle w:val="2"/>
        <w:rPr>
          <w:color w:val="auto"/>
        </w:rPr>
      </w:pPr>
    </w:p>
    <w:p w14:paraId="1F92E404">
      <w:pPr>
        <w:pStyle w:val="5"/>
      </w:pPr>
    </w:p>
    <w:p w14:paraId="4577C7C9">
      <w:pPr>
        <w:pStyle w:val="2"/>
        <w:rPr>
          <w:color w:val="auto"/>
        </w:rPr>
      </w:pPr>
    </w:p>
    <w:p w14:paraId="1F885603">
      <w:pPr>
        <w:pStyle w:val="2"/>
        <w:rPr>
          <w:color w:val="auto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531495</wp:posOffset>
                </wp:positionV>
                <wp:extent cx="5606415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1.5pt;margin-top:41.85pt;height:0.05pt;width:441.45pt;z-index:251659264;mso-width-relative:page;mso-height-relative:page;" filled="f" stroked="t" coordsize="21600,21600" o:gfxdata="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2hmizVAAAABwEAAA8AAAAAAAAAAQAgAAAAIgAAAGRycy9kb3ducmV2LnhtbFBLAQIUABQA&#10;AAAIAIdO4kC/qDV48wEAAOYDAAAOAAAAAAAAAAEAIAAAACQ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F32CB5C">
      <w:pPr>
        <w:spacing w:line="360" w:lineRule="auto"/>
        <w:ind w:firstLine="280" w:firstLineChars="100"/>
        <w:rPr>
          <w:rFonts w:ascii="仿宋" w:hAnsi="仿宋" w:eastAsia="仿宋" w:cs="仿宋"/>
          <w:color w:val="auto"/>
          <w:sz w:val="28"/>
          <w:szCs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373380</wp:posOffset>
                </wp:positionV>
                <wp:extent cx="5606415" cy="635"/>
                <wp:effectExtent l="0" t="0" r="0" b="0"/>
                <wp:wrapNone/>
                <wp:docPr id="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.5pt;margin-top:29.4pt;height:0.05pt;width:441.45pt;z-index:251659264;mso-width-relative:page;mso-height-relative:page;" filled="f" stroked="t" coordsize="21600,21600" o:gfxdata="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jOVarUAAAABwEAAA8AAAAAAAAAAQAgAAAAIgAAAGRycy9kb3ducmV2LnhtbFBLAQIUABQA&#10;AAAIAIdO4kDNXoGV9AEAAOYDAAAOAAAAAAAAAAEAIAAAACM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</w:rPr>
        <w:t>抄送：福州市连江生态环境保护综合执法大队。</w:t>
      </w:r>
    </w:p>
    <w:p w14:paraId="09FE99FA">
      <w:pPr>
        <w:spacing w:line="360" w:lineRule="auto"/>
        <w:ind w:firstLine="280" w:firstLineChars="100"/>
        <w:rPr>
          <w:color w:val="auto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375920</wp:posOffset>
                </wp:positionV>
                <wp:extent cx="5606415" cy="635"/>
                <wp:effectExtent l="0" t="0" r="0" b="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.5pt;margin-top:29.6pt;height:0.05pt;width:441.45pt;z-index:251659264;mso-width-relative:page;mso-height-relative:page;" filled="f" stroked="t" coordsize="21600,21600" o:gfxdata="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e/BirUAAAABwEAAA8AAAAAAAAAAQAgAAAAIgAAAGRycy9kb3ducmV2LnhtbFBLAQIUABQA&#10;AAAIAIdO4kA+De+79AEAAOYDAAAOAAAAAAAAAAEAIAAAACM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福州市连江生态环境局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27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50AEC">
    <w:pPr>
      <w:pStyle w:val="1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D3FF7">
                          <w:pPr>
                            <w:pStyle w:val="18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- 6 -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CbUHaH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2D3FF7">
                    <w:pPr>
                      <w:pStyle w:val="18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- 6 -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8F621"/>
    <w:multiLevelType w:val="multilevel"/>
    <w:tmpl w:val="6868F621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25" w:hanging="425"/>
      </w:pPr>
      <w:rPr>
        <w:rFonts w:hint="eastAsia" w:ascii="Times New Roman" w:hAnsi="Times New Roman" w:eastAsia="黑体" w:cs="华文仿宋"/>
        <w:b w:val="0"/>
        <w:sz w:val="3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20"/>
        </w:tabs>
        <w:ind w:left="567" w:hanging="567"/>
      </w:pPr>
      <w:rPr>
        <w:rFonts w:hint="eastAsia" w:ascii="Times New Roman" w:hAnsi="Times New Roman" w:eastAsia="宋体" w:cs="华文仿宋"/>
      </w:rPr>
    </w:lvl>
    <w:lvl w:ilvl="2" w:tentative="0">
      <w:start w:val="1"/>
      <w:numFmt w:val="decimal"/>
      <w:pStyle w:val="9"/>
      <w:isLgl/>
      <w:lvlText w:val="%1.%2.%3"/>
      <w:lvlJc w:val="left"/>
      <w:pPr>
        <w:tabs>
          <w:tab w:val="left" w:pos="420"/>
        </w:tabs>
        <w:ind w:left="567" w:hanging="567"/>
      </w:pPr>
      <w:rPr>
        <w:rFonts w:hint="eastAsia" w:ascii="Times New Roman" w:hAnsi="Times New Roman" w:eastAsia="宋体" w:cs="华文仿宋"/>
        <w:sz w:val="28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420"/>
        </w:tabs>
        <w:ind w:left="850" w:hanging="850"/>
      </w:pPr>
      <w:rPr>
        <w:rFonts w:hint="eastAsia" w:ascii="Times New Roman" w:hAnsi="Times New Roman" w:eastAsia="宋体" w:cs="华文仿宋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MTA5M2M2NDU2NGIwMmJhNjk3NjhmMDRjMzZhZTMifQ=="/>
  </w:docVars>
  <w:rsids>
    <w:rsidRoot w:val="008A6967"/>
    <w:rsid w:val="000F0D29"/>
    <w:rsid w:val="006A2432"/>
    <w:rsid w:val="008A6967"/>
    <w:rsid w:val="00B6297D"/>
    <w:rsid w:val="00DA2507"/>
    <w:rsid w:val="064321EB"/>
    <w:rsid w:val="07FC49BB"/>
    <w:rsid w:val="09181A0E"/>
    <w:rsid w:val="091D71FF"/>
    <w:rsid w:val="0B31346F"/>
    <w:rsid w:val="0F2E5AE8"/>
    <w:rsid w:val="113B2EF3"/>
    <w:rsid w:val="14FD691D"/>
    <w:rsid w:val="19EE48D7"/>
    <w:rsid w:val="1A062D1E"/>
    <w:rsid w:val="1A8B359A"/>
    <w:rsid w:val="1AA225AC"/>
    <w:rsid w:val="1B5B5EB7"/>
    <w:rsid w:val="1C8256C5"/>
    <w:rsid w:val="1E454F2C"/>
    <w:rsid w:val="1EB26D65"/>
    <w:rsid w:val="21593FA1"/>
    <w:rsid w:val="254A2AF8"/>
    <w:rsid w:val="25E863C9"/>
    <w:rsid w:val="26CB66A4"/>
    <w:rsid w:val="2818185A"/>
    <w:rsid w:val="2839761A"/>
    <w:rsid w:val="29503BAF"/>
    <w:rsid w:val="296F6E0C"/>
    <w:rsid w:val="29CE3CF8"/>
    <w:rsid w:val="2A2B11B9"/>
    <w:rsid w:val="2D910FF0"/>
    <w:rsid w:val="2DE538AF"/>
    <w:rsid w:val="2E364979"/>
    <w:rsid w:val="2F9D464B"/>
    <w:rsid w:val="2FAE669D"/>
    <w:rsid w:val="2FFD1AEF"/>
    <w:rsid w:val="3227669B"/>
    <w:rsid w:val="32767CA4"/>
    <w:rsid w:val="36120D83"/>
    <w:rsid w:val="36B8048B"/>
    <w:rsid w:val="39486BB3"/>
    <w:rsid w:val="3B4007FA"/>
    <w:rsid w:val="3CC97544"/>
    <w:rsid w:val="3EC40E87"/>
    <w:rsid w:val="3EED6DC9"/>
    <w:rsid w:val="433C2AC3"/>
    <w:rsid w:val="435E718F"/>
    <w:rsid w:val="44540E2A"/>
    <w:rsid w:val="4478026F"/>
    <w:rsid w:val="44D65FFB"/>
    <w:rsid w:val="45AC00A0"/>
    <w:rsid w:val="48004796"/>
    <w:rsid w:val="4A410392"/>
    <w:rsid w:val="4A9635CE"/>
    <w:rsid w:val="4B8955B6"/>
    <w:rsid w:val="4BD9312E"/>
    <w:rsid w:val="4D4141DD"/>
    <w:rsid w:val="4DDC4386"/>
    <w:rsid w:val="4FB568B9"/>
    <w:rsid w:val="50F75F31"/>
    <w:rsid w:val="521E2B0D"/>
    <w:rsid w:val="532234FC"/>
    <w:rsid w:val="553629ED"/>
    <w:rsid w:val="561B7811"/>
    <w:rsid w:val="566E2615"/>
    <w:rsid w:val="56D03DA3"/>
    <w:rsid w:val="58C763E1"/>
    <w:rsid w:val="5A115E2B"/>
    <w:rsid w:val="5B24313F"/>
    <w:rsid w:val="5F6D308F"/>
    <w:rsid w:val="620D0140"/>
    <w:rsid w:val="62132500"/>
    <w:rsid w:val="636E2688"/>
    <w:rsid w:val="64BC1145"/>
    <w:rsid w:val="66601073"/>
    <w:rsid w:val="672F1572"/>
    <w:rsid w:val="6BBE40B2"/>
    <w:rsid w:val="6CED11DA"/>
    <w:rsid w:val="702602D2"/>
    <w:rsid w:val="7077311F"/>
    <w:rsid w:val="70BC0267"/>
    <w:rsid w:val="70F21AC0"/>
    <w:rsid w:val="71ED792D"/>
    <w:rsid w:val="72984E3D"/>
    <w:rsid w:val="73D01D99"/>
    <w:rsid w:val="73F05BE5"/>
    <w:rsid w:val="779D7E32"/>
    <w:rsid w:val="7AD915CA"/>
    <w:rsid w:val="7AE22E2C"/>
    <w:rsid w:val="7B493780"/>
    <w:rsid w:val="7D41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856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99"/>
    <w:pPr>
      <w:keepNext/>
      <w:overflowPunct w:val="0"/>
      <w:snapToGrid w:val="0"/>
      <w:spacing w:beforeLines="100" w:afterLines="50" w:line="360" w:lineRule="auto"/>
      <w:outlineLvl w:val="0"/>
    </w:pPr>
    <w:rPr>
      <w:b/>
      <w:bCs/>
      <w:kern w:val="44"/>
      <w:sz w:val="30"/>
      <w:szCs w:val="30"/>
    </w:rPr>
  </w:style>
  <w:style w:type="paragraph" w:styleId="9">
    <w:name w:val="heading 3"/>
    <w:basedOn w:val="1"/>
    <w:next w:val="10"/>
    <w:autoRedefine/>
    <w:qFormat/>
    <w:uiPriority w:val="0"/>
    <w:pPr>
      <w:keepNext/>
      <w:keepLines/>
      <w:numPr>
        <w:ilvl w:val="2"/>
        <w:numId w:val="1"/>
      </w:numPr>
      <w:tabs>
        <w:tab w:val="left" w:pos="0"/>
      </w:tabs>
      <w:adjustRightInd w:val="0"/>
      <w:snapToGrid w:val="0"/>
      <w:spacing w:before="120" w:after="120" w:line="360" w:lineRule="auto"/>
      <w:outlineLvl w:val="2"/>
    </w:pPr>
    <w:rPr>
      <w:b/>
      <w:sz w:val="3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hAnsi="Arial Unicode MS" w:eastAsia="宋体" w:cs="Arial Unicode MS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next w:val="4"/>
    <w:qFormat/>
    <w:uiPriority w:val="99"/>
    <w:rPr>
      <w:rFonts w:ascii="宋体" w:hAnsi="Courier New" w:eastAsia="宋体" w:cs="黑体"/>
      <w:szCs w:val="21"/>
    </w:rPr>
  </w:style>
  <w:style w:type="paragraph" w:styleId="4">
    <w:name w:val="Plain Text"/>
    <w:basedOn w:val="1"/>
    <w:qFormat/>
    <w:uiPriority w:val="0"/>
    <w:pPr>
      <w:ind w:firstLine="0"/>
    </w:pPr>
    <w:rPr>
      <w:rFonts w:ascii="宋体" w:hAnsi="Courier New"/>
      <w:sz w:val="24"/>
    </w:rPr>
  </w:style>
  <w:style w:type="paragraph" w:customStyle="1" w:styleId="5">
    <w:name w:val="样式35"/>
    <w:next w:val="6"/>
    <w:qFormat/>
    <w:uiPriority w:val="99"/>
    <w:pPr>
      <w:widowControl w:val="0"/>
      <w:spacing w:line="312" w:lineRule="auto"/>
      <w:ind w:firstLine="567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font6"/>
    <w:basedOn w:val="1"/>
    <w:next w:val="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Note Heading"/>
    <w:basedOn w:val="1"/>
    <w:next w:val="1"/>
    <w:autoRedefine/>
    <w:qFormat/>
    <w:uiPriority w:val="0"/>
    <w:pPr>
      <w:spacing w:line="360" w:lineRule="auto"/>
      <w:ind w:firstLine="200" w:firstLineChars="200"/>
      <w:jc w:val="center"/>
    </w:pPr>
    <w:rPr>
      <w:sz w:val="24"/>
    </w:rPr>
  </w:style>
  <w:style w:type="paragraph" w:styleId="12">
    <w:name w:val="annotation text"/>
    <w:basedOn w:val="1"/>
    <w:autoRedefine/>
    <w:semiHidden/>
    <w:qFormat/>
    <w:uiPriority w:val="0"/>
    <w:pPr>
      <w:jc w:val="left"/>
    </w:pPr>
    <w:rPr>
      <w:sz w:val="20"/>
    </w:rPr>
  </w:style>
  <w:style w:type="paragraph" w:styleId="13">
    <w:name w:val="Salutation"/>
    <w:basedOn w:val="1"/>
    <w:next w:val="1"/>
    <w:unhideWhenUsed/>
    <w:qFormat/>
    <w:uiPriority w:val="99"/>
    <w:pPr>
      <w:widowControl w:val="0"/>
      <w:spacing w:line="307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"/>
    <w:basedOn w:val="1"/>
    <w:next w:val="13"/>
    <w:autoRedefine/>
    <w:qFormat/>
    <w:uiPriority w:val="0"/>
    <w:pPr>
      <w:spacing w:line="240" w:lineRule="exact"/>
      <w:jc w:val="center"/>
    </w:pPr>
    <w:rPr>
      <w:sz w:val="18"/>
    </w:rPr>
  </w:style>
  <w:style w:type="paragraph" w:styleId="15">
    <w:name w:val="Body Text Indent"/>
    <w:basedOn w:val="1"/>
    <w:next w:val="16"/>
    <w:autoRedefine/>
    <w:qFormat/>
    <w:uiPriority w:val="0"/>
    <w:pPr>
      <w:spacing w:after="120"/>
      <w:ind w:left="420" w:leftChars="200"/>
    </w:pPr>
    <w:rPr>
      <w:sz w:val="24"/>
    </w:rPr>
  </w:style>
  <w:style w:type="paragraph" w:styleId="16">
    <w:name w:val="Body Text First Indent 2"/>
    <w:basedOn w:val="15"/>
    <w:next w:val="17"/>
    <w:autoRedefine/>
    <w:qFormat/>
    <w:uiPriority w:val="0"/>
    <w:pPr>
      <w:spacing w:line="240" w:lineRule="auto"/>
      <w:ind w:firstLine="420"/>
    </w:pPr>
  </w:style>
  <w:style w:type="paragraph" w:styleId="17">
    <w:name w:val="Body Text First Indent"/>
    <w:basedOn w:val="14"/>
    <w:next w:val="1"/>
    <w:autoRedefine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</w:pPr>
    <w:rPr>
      <w:sz w:val="28"/>
    </w:rPr>
  </w:style>
  <w:style w:type="paragraph" w:styleId="1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link w:val="2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</w:style>
  <w:style w:type="paragraph" w:styleId="2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sz w:val="24"/>
      <w:szCs w:val="24"/>
    </w:rPr>
  </w:style>
  <w:style w:type="paragraph" w:styleId="2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eastAsia="仿宋"/>
      <w:sz w:val="32"/>
    </w:rPr>
  </w:style>
  <w:style w:type="paragraph" w:customStyle="1" w:styleId="25">
    <w:name w:val="一级aaa"/>
    <w:basedOn w:val="8"/>
    <w:next w:val="1"/>
    <w:qFormat/>
    <w:uiPriority w:val="0"/>
    <w:pPr>
      <w:adjustRightInd w:val="0"/>
      <w:snapToGrid w:val="0"/>
      <w:spacing w:before="100" w:beforeLines="100" w:after="100" w:afterLines="100"/>
    </w:pPr>
  </w:style>
  <w:style w:type="paragraph" w:customStyle="1" w:styleId="26">
    <w:name w:val="表正文"/>
    <w:basedOn w:val="1"/>
    <w:autoRedefine/>
    <w:qFormat/>
    <w:uiPriority w:val="0"/>
    <w:pPr>
      <w:spacing w:line="360" w:lineRule="auto"/>
      <w:ind w:firstLine="200" w:firstLineChars="200"/>
    </w:pPr>
    <w:rPr>
      <w:sz w:val="24"/>
    </w:rPr>
  </w:style>
  <w:style w:type="character" w:customStyle="1" w:styleId="27">
    <w:name w:val="页眉 Char"/>
    <w:link w:val="19"/>
    <w:autoRedefine/>
    <w:qFormat/>
    <w:uiPriority w:val="0"/>
    <w:rPr>
      <w:color w:val="000000"/>
      <w:sz w:val="18"/>
      <w:szCs w:val="18"/>
      <w:u w:color="000000"/>
    </w:rPr>
  </w:style>
  <w:style w:type="paragraph" w:customStyle="1" w:styleId="28">
    <w:name w:val="（环评）正文（小四）"/>
    <w:basedOn w:val="1"/>
    <w:autoRedefine/>
    <w:qFormat/>
    <w:uiPriority w:val="0"/>
    <w:pPr>
      <w:spacing w:line="360" w:lineRule="auto"/>
      <w:ind w:firstLine="643" w:firstLineChars="200"/>
    </w:pPr>
    <w:rPr>
      <w:rFonts w:eastAsia="宋体" w:cs="Times New Roman" w:asciiTheme="minorAscii" w:hAnsiTheme="minorAscii"/>
      <w:sz w:val="24"/>
    </w:rPr>
  </w:style>
  <w:style w:type="paragraph" w:customStyle="1" w:styleId="29">
    <w:name w:val="正文（无网格）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30">
    <w:name w:val="表格的字"/>
    <w:next w:val="1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（环评）表格内容"/>
    <w:basedOn w:val="1"/>
    <w:next w:val="14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i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3120</Words>
  <Characters>3475</Characters>
  <Lines>23</Lines>
  <Paragraphs>6</Paragraphs>
  <TotalTime>17</TotalTime>
  <ScaleCrop>false</ScaleCrop>
  <LinksUpToDate>false</LinksUpToDate>
  <CharactersWithSpaces>3551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2022-01-29T22:55:00Z</dcterms:created>
  <dc:creator>admin</dc:creator>
  <cp:lastModifiedBy>林木木</cp:lastModifiedBy>
  <cp:lastPrinted>2024-06-07T02:42:00Z</cp:lastPrinted>
  <dcterms:modified xsi:type="dcterms:W3CDTF">2024-11-04T09:24:51Z</dcterms:modified>
  <dc:title>                               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9B98AC5667A640C99448B32A44AA2E28_13</vt:lpwstr>
  </property>
</Properties>
</file>