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4026" w:h="1683" w:wrap="none" w:hAnchor="page" w:x="3270" w:y="80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财 政 部</w:t>
        <w:br/>
        <w:t>国家发展改革委</w:t>
      </w:r>
      <w:bookmarkEnd w:id="0"/>
      <w:bookmarkEnd w:id="1"/>
      <w:bookmarkEnd w:id="2"/>
    </w:p>
    <w:p>
      <w:pPr>
        <w:pStyle w:val="Style2"/>
        <w:keepNext/>
        <w:keepLines/>
        <w:framePr w:w="1218" w:h="669" w:wrap="none" w:hAnchor="page" w:x="7535" w:y="14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文件</w:t>
      </w:r>
      <w:bookmarkEnd w:id="3"/>
      <w:bookmarkEnd w:id="4"/>
      <w:bookmarkEnd w:id="5"/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1229360</wp:posOffset>
            </wp:positionH>
            <wp:positionV relativeFrom="margin">
              <wp:posOffset>0</wp:posOffset>
            </wp:positionV>
            <wp:extent cx="121920" cy="9779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1920" cy="97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3" w:line="1" w:lineRule="exact"/>
      </w:pPr>
    </w:p>
    <w:p>
      <w:pPr>
        <w:widowControl w:val="0"/>
        <w:spacing w:line="1" w:lineRule="exact"/>
        <w:sectPr>
          <w:footerReference w:type="defaul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2522" w:right="2944" w:bottom="5101" w:left="1936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052" w:right="0" w:bottom="526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财税〔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2019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45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财政部国家发展改革委关于减免部分</w:t>
        <w:br/>
        <w:t>行政事业性收费有关政策的通知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52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自然资源部、国家知识产权局，各省、自治区、直辖市、计划单 列市财政厅（局）、发展改革委、物价局，新疆生产建设兵团财政 局、发展改革委：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00" w:line="523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按照国务院关于降费减负的决策部署，为进一步减轻社会负 担、激发市场活力，现就减免部分行政事业性收费有关政策通知 如下：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一、减免不动土登记费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</w:rPr>
        <w:t>〔一）对下列情形免征不过产登记费: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8" w:val="left"/>
        </w:tabs>
        <w:bidi w:val="0"/>
        <w:spacing w:before="0" w:after="0" w:line="524" w:lineRule="exact"/>
        <w:ind w:left="0" w:right="0" w:firstLine="42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申请办理变更登记、更正登记的；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0" w:val="left"/>
        </w:tabs>
        <w:bidi w:val="0"/>
        <w:spacing w:before="0" w:after="0" w:line="554" w:lineRule="exact"/>
        <w:ind w:left="0" w:right="0" w:firstLine="42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申请办理森林、林木所有权及其占用的林地承包经营权或 林地使用权，及相关抵押权、地役权不动产权利登记的；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8" w:val="left"/>
        </w:tabs>
        <w:bidi w:val="0"/>
        <w:spacing w:before="0" w:after="0" w:line="537" w:lineRule="exact"/>
        <w:ind w:left="0" w:right="0" w:firstLine="42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申请办理耕地、草地、水域、滩涂等土地承包经营权或国 有农用地使用权，及相关抵押权、地役权不动产权利登记的。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513" w:lineRule="exact"/>
        <w:ind w:left="0" w:right="0" w:firstLine="520"/>
        <w:jc w:val="both"/>
      </w:pPr>
      <w:r>
        <w:rPr>
          <w:color w:val="000000"/>
          <w:spacing w:val="0"/>
          <w:w w:val="100"/>
          <w:position w:val="0"/>
        </w:rPr>
        <w:t>（二）对申请办理车库、车位、储藏室</w:t>
      </w:r>
      <w:r>
        <w:rPr>
          <w:color w:val="2D4149"/>
          <w:spacing w:val="0"/>
          <w:w w:val="100"/>
          <w:position w:val="0"/>
        </w:rPr>
        <w:t>不动产</w:t>
      </w:r>
      <w:r>
        <w:rPr>
          <w:color w:val="000000"/>
          <w:spacing w:val="0"/>
          <w:w w:val="100"/>
          <w:position w:val="0"/>
        </w:rPr>
        <w:t>登记，单独核 发不动产权属证书或登记证</w:t>
      </w:r>
      <w:r>
        <w:rPr>
          <w:color w:val="2D4149"/>
          <w:spacing w:val="0"/>
          <w:w w:val="100"/>
          <w:position w:val="0"/>
        </w:rPr>
        <w:t>明的，</w:t>
      </w:r>
      <w:r>
        <w:rPr>
          <w:color w:val="000000"/>
          <w:spacing w:val="0"/>
          <w:w w:val="100"/>
          <w:position w:val="0"/>
        </w:rPr>
        <w:t>不</w:t>
      </w:r>
      <w:r>
        <w:rPr>
          <w:color w:val="2D4149"/>
          <w:spacing w:val="0"/>
          <w:w w:val="100"/>
          <w:position w:val="0"/>
        </w:rPr>
        <w:t xml:space="preserve">动产登记费由原非住宅类不 </w:t>
      </w:r>
      <w:r>
        <w:rPr>
          <w:color w:val="000000"/>
          <w:spacing w:val="0"/>
          <w:w w:val="100"/>
          <w:position w:val="0"/>
        </w:rPr>
        <w:t>动产登记每件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550</w:t>
      </w:r>
      <w:r>
        <w:rPr>
          <w:color w:val="2D4149"/>
          <w:spacing w:val="0"/>
          <w:w w:val="100"/>
          <w:position w:val="0"/>
        </w:rPr>
        <w:t>元，减按住宅类不动产登记每件</w:t>
      </w:r>
      <w:r>
        <w:rPr>
          <w:rFonts w:ascii="Times New Roman" w:eastAsia="Times New Roman" w:hAnsi="Times New Roman" w:cs="Times New Roman"/>
          <w:color w:val="2D4149"/>
          <w:spacing w:val="0"/>
          <w:w w:val="100"/>
          <w:position w:val="0"/>
        </w:rPr>
        <w:t>80</w:t>
      </w:r>
      <w:r>
        <w:rPr>
          <w:color w:val="2D4149"/>
          <w:spacing w:val="0"/>
          <w:w w:val="100"/>
          <w:position w:val="0"/>
        </w:rPr>
        <w:t>元收取。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524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二、调整专利收费减缴条件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524" w:lineRule="exact"/>
        <w:ind w:left="0" w:right="0" w:firstLine="42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052" w:right="2859" w:bottom="5267" w:left="290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将《财政部国家发展改革委关于印发〈专利收费减缴办法＞的 通知》</w:t>
      </w:r>
      <w:r>
        <w:rPr>
          <w:color w:val="2D4149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财税〔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2016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78</w:t>
      </w:r>
      <w:r>
        <w:rPr>
          <w:color w:val="000000"/>
          <w:spacing w:val="0"/>
          <w:w w:val="100"/>
          <w:position w:val="0"/>
        </w:rPr>
        <w:t>号）第三条规</w:t>
      </w:r>
      <w:r>
        <w:rPr>
          <w:color w:val="2D4149"/>
          <w:spacing w:val="0"/>
          <w:w w:val="100"/>
          <w:position w:val="0"/>
        </w:rPr>
        <w:t>定可以</w:t>
      </w:r>
      <w:r>
        <w:rPr>
          <w:color w:val="000000"/>
          <w:spacing w:val="0"/>
          <w:w w:val="100"/>
          <w:position w:val="0"/>
        </w:rPr>
        <w:t>申请减缴专利收费的 专利申请人和专利权人条件，由</w:t>
      </w:r>
      <w:r>
        <w:rPr>
          <w:color w:val="2D4149"/>
          <w:spacing w:val="0"/>
          <w:w w:val="100"/>
          <w:position w:val="0"/>
        </w:rPr>
        <w:t>上年度月均收入低于</w:t>
      </w:r>
      <w:r>
        <w:rPr>
          <w:rFonts w:ascii="Times New Roman" w:eastAsia="Times New Roman" w:hAnsi="Times New Roman" w:cs="Times New Roman"/>
          <w:color w:val="2D4149"/>
          <w:spacing w:val="0"/>
          <w:w w:val="100"/>
          <w:position w:val="0"/>
        </w:rPr>
        <w:t>3500</w:t>
      </w:r>
      <w:r>
        <w:rPr>
          <w:color w:val="2D4149"/>
          <w:spacing w:val="0"/>
          <w:w w:val="100"/>
          <w:position w:val="0"/>
        </w:rPr>
        <w:t>元</w:t>
      </w:r>
      <w:r>
        <w:rPr>
          <w:color w:val="000000"/>
          <w:spacing w:val="0"/>
          <w:w w:val="100"/>
          <w:position w:val="0"/>
        </w:rPr>
        <w:t xml:space="preserve">（年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4, 2</w:t>
      </w:r>
      <w:r>
        <w:rPr>
          <w:color w:val="000000"/>
          <w:spacing w:val="0"/>
          <w:w w:val="100"/>
          <w:position w:val="0"/>
        </w:rPr>
        <w:t>万元）的个人，调整为上年度月均收</w:t>
      </w:r>
      <w:r>
        <w:rPr>
          <w:color w:val="2D4149"/>
          <w:spacing w:val="0"/>
          <w:w w:val="100"/>
          <w:position w:val="0"/>
        </w:rPr>
        <w:t>入低于</w:t>
      </w:r>
      <w:r>
        <w:rPr>
          <w:rFonts w:ascii="Times New Roman" w:eastAsia="Times New Roman" w:hAnsi="Times New Roman" w:cs="Times New Roman"/>
          <w:color w:val="2D4149"/>
          <w:spacing w:val="0"/>
          <w:w w:val="100"/>
          <w:position w:val="0"/>
        </w:rPr>
        <w:t>5000</w:t>
      </w:r>
      <w:r>
        <w:rPr>
          <w:color w:val="2D4149"/>
          <w:spacing w:val="0"/>
          <w:w w:val="100"/>
          <w:position w:val="0"/>
        </w:rPr>
        <w:t>元（年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6</w:t>
      </w:r>
      <w:r>
        <w:rPr>
          <w:color w:val="2D4149"/>
          <w:spacing w:val="0"/>
          <w:w w:val="100"/>
          <w:position w:val="0"/>
        </w:rPr>
        <w:t xml:space="preserve">万元） </w:t>
      </w:r>
      <w:r>
        <w:rPr>
          <w:color w:val="000000"/>
          <w:spacing w:val="0"/>
          <w:w w:val="100"/>
          <w:position w:val="0"/>
        </w:rPr>
        <w:t>的个人；由上年度企业应纳税所得</w:t>
      </w:r>
      <w:r>
        <w:rPr>
          <w:color w:val="2D4149"/>
          <w:spacing w:val="0"/>
          <w:w w:val="100"/>
          <w:position w:val="0"/>
        </w:rPr>
        <w:t>额低于</w:t>
      </w:r>
      <w:r>
        <w:rPr>
          <w:rFonts w:ascii="Times New Roman" w:eastAsia="Times New Roman" w:hAnsi="Times New Roman" w:cs="Times New Roman"/>
          <w:color w:val="2D4149"/>
          <w:spacing w:val="0"/>
          <w:w w:val="100"/>
          <w:position w:val="0"/>
        </w:rPr>
        <w:t>30</w:t>
      </w:r>
      <w:r>
        <w:rPr>
          <w:color w:val="2D4149"/>
          <w:spacing w:val="0"/>
          <w:w w:val="100"/>
          <w:position w:val="0"/>
        </w:rPr>
        <w:t>万元的企业，调整为</w:t>
      </w:r>
    </w:p>
    <w:p>
      <w:pPr>
        <w:widowControl w:val="0"/>
        <w:jc w:val="left"/>
        <w:rPr>
          <w:sz w:val="2"/>
          <w:szCs w:val="2"/>
        </w:rPr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3052" w:right="2859" w:bottom="5267" w:left="2901" w:header="2624" w:footer="4839" w:gutter="0"/>
          <w:cols w:space="720"/>
          <w:noEndnote/>
          <w:rtlGutter w:val="0"/>
          <w:docGrid w:linePitch="360"/>
        </w:sectPr>
      </w:pPr>
      <w:r>
        <w:drawing>
          <wp:inline>
            <wp:extent cx="3456305" cy="1779905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3456305" cy="17799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55" w:line="1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6030595</wp:posOffset>
            </wp:positionH>
            <wp:positionV relativeFrom="margin">
              <wp:posOffset>0</wp:posOffset>
            </wp:positionV>
            <wp:extent cx="97790" cy="164465"/>
            <wp:wrapNone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97790" cy="1644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712" w:right="2245" w:bottom="4062" w:left="1794" w:header="3284" w:footer="3634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2" w:after="8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712" w:right="0" w:bottom="406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信息公开选项：主动公开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712" w:right="6633" w:bottom="4062" w:left="289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抄送：财政部各地监管局。</w:t>
      </w: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712" w:right="0" w:bottom="371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framePr w:w="1593" w:h="260" w:wrap="none" w:vAnchor="text" w:hAnchor="page" w:x="7151" w:y="2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</w:rPr>
        <w:t>2019</w:t>
      </w:r>
      <w:r>
        <w:rPr>
          <w:rFonts w:ascii="SimSun" w:eastAsia="SimSun" w:hAnsi="SimSun" w:cs="SimSun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spacing w:val="0"/>
          <w:w w:val="100"/>
          <w:position w:val="0"/>
        </w:rPr>
        <w:t>5</w:t>
      </w:r>
      <w:r>
        <w:rPr>
          <w:rFonts w:ascii="SimSun" w:eastAsia="SimSun" w:hAnsi="SimSun" w:cs="SimSun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spacing w:val="0"/>
          <w:w w:val="100"/>
          <w:position w:val="0"/>
        </w:rPr>
        <w:t>16</w:t>
      </w:r>
      <w:r>
        <w:rPr>
          <w:rFonts w:ascii="SimSun" w:eastAsia="SimSun" w:hAnsi="SimSun" w:cs="SimSun"/>
          <w:spacing w:val="0"/>
          <w:w w:val="100"/>
          <w:position w:val="0"/>
        </w:rPr>
        <w:t>日印发</w:t>
      </w:r>
    </w:p>
    <w:p>
      <w:pPr>
        <w:pStyle w:val="Style19"/>
        <w:keepNext w:val="0"/>
        <w:keepLines w:val="0"/>
        <w:framePr w:w="2168" w:h="213" w:wrap="none" w:vAnchor="text" w:hAnchor="page" w:x="3099" w:y="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财政部办公厅</w:t>
      </w:r>
    </w:p>
    <w:p>
      <w:pPr>
        <w:widowControl w:val="0"/>
        <w:spacing w:line="360" w:lineRule="exact"/>
      </w:pPr>
      <w:r>
        <w:drawing>
          <wp:anchor distT="143510" distB="0" distL="0" distR="0" simplePos="0" relativeHeight="62914696" behindDoc="1" locked="0" layoutInCell="1" allowOverlap="1">
            <wp:simplePos x="0" y="0"/>
            <wp:positionH relativeFrom="page">
              <wp:posOffset>1139190</wp:posOffset>
            </wp:positionH>
            <wp:positionV relativeFrom="paragraph">
              <wp:posOffset>173355</wp:posOffset>
            </wp:positionV>
            <wp:extent cx="2310130" cy="719455"/>
            <wp:wrapNone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2310130" cy="7194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4250690</wp:posOffset>
            </wp:positionH>
            <wp:positionV relativeFrom="paragraph">
              <wp:posOffset>337820</wp:posOffset>
            </wp:positionV>
            <wp:extent cx="1090930" cy="396240"/>
            <wp:wrapNone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1090930" cy="396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3712" w:right="2245" w:bottom="3712" w:left="179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2045335</wp:posOffset>
              </wp:positionH>
              <wp:positionV relativeFrom="page">
                <wp:posOffset>7412355</wp:posOffset>
              </wp:positionV>
              <wp:extent cx="392430" cy="8382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2430" cy="838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—2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61.05000000000001pt;margin-top:583.64999999999998pt;width:30.900000000000002pt;height:6.600000000000000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—2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5311140</wp:posOffset>
              </wp:positionH>
              <wp:positionV relativeFrom="page">
                <wp:posOffset>7390765</wp:posOffset>
              </wp:positionV>
              <wp:extent cx="29845" cy="7874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845" cy="787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18.19999999999999pt;margin-top:581.95000000000005pt;width:2.3500000000000001pt;height:6.2000000000000002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1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54"/>
      <w:szCs w:val="54"/>
      <w:u w:val="none"/>
      <w:shd w:val="clear" w:color="auto" w:fill="auto"/>
      <w:lang w:val="zh-TW" w:eastAsia="zh-TW" w:bidi="zh-TW"/>
    </w:rPr>
  </w:style>
  <w:style w:type="character" w:customStyle="1" w:styleId="CharStyle5">
    <w:name w:val="Header or footer|2_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8">
    <w:name w:val="Body text|1_"/>
    <w:basedOn w:val="DefaultParagraphFont"/>
    <w:link w:val="Style7"/>
    <w:rPr>
      <w:rFonts w:ascii="SimSun" w:eastAsia="SimSun" w:hAnsi="SimSun" w:cs="SimSu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11">
    <w:name w:val="Body text|2_"/>
    <w:basedOn w:val="DefaultParagraphFont"/>
    <w:link w:val="Style10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CharStyle15">
    <w:name w:val="Body text|3_"/>
    <w:basedOn w:val="DefaultParagraphFont"/>
    <w:link w:val="Style14"/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CharStyle17">
    <w:name w:val="Body text|4_"/>
    <w:basedOn w:val="DefaultParagraphFont"/>
    <w:link w:val="Style16"/>
    <w:rPr>
      <w:b w:val="0"/>
      <w:bCs w:val="0"/>
      <w:i w:val="0"/>
      <w:iCs w:val="0"/>
      <w:smallCaps w:val="0"/>
      <w:strike w:val="0"/>
      <w:color w:val="2D4149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CharStyle20">
    <w:name w:val="Picture caption|1_"/>
    <w:basedOn w:val="DefaultParagraphFont"/>
    <w:link w:val="Style19"/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auto"/>
      <w:spacing w:line="831" w:lineRule="exact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54"/>
      <w:szCs w:val="54"/>
      <w:u w:val="none"/>
      <w:shd w:val="clear" w:color="auto" w:fill="auto"/>
      <w:lang w:val="zh-TW" w:eastAsia="zh-TW" w:bidi="zh-TW"/>
    </w:rPr>
  </w:style>
  <w:style w:type="paragraph" w:customStyle="1" w:styleId="Style4">
    <w:name w:val="Header or footer|2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7">
    <w:name w:val="Body text|1"/>
    <w:basedOn w:val="Normal"/>
    <w:link w:val="CharStyle8"/>
    <w:pPr>
      <w:widowControl w:val="0"/>
      <w:shd w:val="clear" w:color="auto" w:fill="auto"/>
      <w:spacing w:line="480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10">
    <w:name w:val="Body text|2"/>
    <w:basedOn w:val="Normal"/>
    <w:link w:val="CharStyle11"/>
    <w:pPr>
      <w:widowControl w:val="0"/>
      <w:shd w:val="clear" w:color="auto" w:fill="auto"/>
      <w:spacing w:after="340" w:line="430" w:lineRule="exact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14">
    <w:name w:val="Body text|3"/>
    <w:basedOn w:val="Normal"/>
    <w:link w:val="CharStyle15"/>
    <w:pPr>
      <w:widowControl w:val="0"/>
      <w:shd w:val="clear" w:color="auto" w:fill="auto"/>
      <w:spacing w:after="100"/>
      <w:ind w:firstLine="1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Style16">
    <w:name w:val="Body text|4"/>
    <w:basedOn w:val="Normal"/>
    <w:link w:val="CharStyle1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color w:val="2D4149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Style19">
    <w:name w:val="Picture caption|1"/>
    <w:basedOn w:val="Normal"/>
    <w:link w:val="CharStyle20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2.jpeg"/><Relationship Id="rId11" Type="http://schemas.openxmlformats.org/officeDocument/2006/relationships/image" Target="media/image2.jpeg" TargetMode="External"/><Relationship Id="rId12" Type="http://schemas.openxmlformats.org/officeDocument/2006/relationships/image" Target="media/image3.jpeg"/><Relationship Id="rId13" Type="http://schemas.openxmlformats.org/officeDocument/2006/relationships/image" Target="media/image3.jpeg" TargetMode="External"/><Relationship Id="rId14" Type="http://schemas.openxmlformats.org/officeDocument/2006/relationships/image" Target="media/image4.jpeg"/><Relationship Id="rId15" Type="http://schemas.openxmlformats.org/officeDocument/2006/relationships/image" Target="media/image4.jpeg" TargetMode="External"/><Relationship Id="rId16" Type="http://schemas.openxmlformats.org/officeDocument/2006/relationships/image" Target="media/image5.jpeg"/><Relationship Id="rId17" Type="http://schemas.openxmlformats.org/officeDocument/2006/relationships/image" Target="media/image5.jpeg" TargetMode="External"/></Relationships>
</file>