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rPr>
        <w:t>《</w:t>
      </w: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lang w:val="en-US" w:eastAsia="zh-CN"/>
        </w:rPr>
        <w:t>温麻魁龙坊历史文化街区保护规划</w:t>
      </w: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rPr>
        <w:t>》</w:t>
      </w: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lang w:val="en-US" w:eastAsia="zh-CN"/>
        </w:rPr>
        <w:t>简介</w:t>
      </w:r>
    </w:p>
    <w:p>
      <w:pPr>
        <w:rPr>
          <w:rFonts w:hint="eastAsia" w:ascii="仿宋" w:hAnsi="仿宋" w:eastAsia="仿宋" w:cs="仿宋"/>
          <w:sz w:val="32"/>
          <w:szCs w:val="32"/>
          <w:lang w:val="en-US" w:eastAsia="zh-CN"/>
        </w:rPr>
      </w:pPr>
    </w:p>
    <w:p>
      <w:pPr>
        <w:ind w:firstLine="640" w:firstLineChars="200"/>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仿宋" w:hAnsi="仿宋" w:eastAsia="仿宋" w:cs="仿宋"/>
          <w:b w:val="0"/>
          <w:bCs w:val="0"/>
          <w:i w:val="0"/>
          <w:iCs w:val="0"/>
          <w:caps w:val="0"/>
          <w:color w:val="333333"/>
          <w:spacing w:val="0"/>
          <w:sz w:val="32"/>
          <w:szCs w:val="32"/>
          <w:shd w:val="clear" w:fill="FFFFFF"/>
          <w:lang w:val="en-US" w:eastAsia="zh-CN"/>
        </w:rPr>
        <w:t>魁龙坊是连江县老城保护与复兴系列规划中提出并划定的历史文化风貌区之一，魁龙坊作为“三街一坊”（魁龙坊、天王前街、上林街、王步街）中最具代表性的一处，于2021年8月公布为第五批省级历史文化街区。2022年6月，连江县特色历史文化街区建设工作领导小组办公室委托福州市规划设计研究院集团有限公司编制《温麻魁龙坊历史文化街区保护规划》。</w:t>
      </w:r>
    </w:p>
    <w:p>
      <w:pPr>
        <w:numPr>
          <w:ilvl w:val="0"/>
          <w:numId w:val="0"/>
        </w:numPr>
        <w:ind w:firstLine="640" w:firstLineChars="200"/>
        <w:rPr>
          <w:rFonts w:hint="eastAsia" w:ascii="黑体" w:hAnsi="黑体" w:eastAsia="黑体" w:cs="黑体"/>
          <w:b w:val="0"/>
          <w:bCs w:val="0"/>
          <w:i w:val="0"/>
          <w:iCs w:val="0"/>
          <w:caps w:val="0"/>
          <w:color w:val="333333"/>
          <w:spacing w:val="0"/>
          <w:sz w:val="32"/>
          <w:szCs w:val="32"/>
          <w:shd w:val="clear" w:fill="FFFFFF"/>
          <w:lang w:val="en-US" w:eastAsia="zh-CN"/>
        </w:rPr>
      </w:pPr>
      <w:r>
        <w:rPr>
          <w:rFonts w:hint="eastAsia" w:ascii="黑体" w:hAnsi="黑体" w:eastAsia="黑体" w:cs="黑体"/>
          <w:b w:val="0"/>
          <w:bCs w:val="0"/>
          <w:i w:val="0"/>
          <w:iCs w:val="0"/>
          <w:caps w:val="0"/>
          <w:color w:val="333333"/>
          <w:spacing w:val="0"/>
          <w:sz w:val="32"/>
          <w:szCs w:val="32"/>
          <w:shd w:val="clear" w:fill="FFFFFF"/>
          <w:lang w:val="en-US" w:eastAsia="zh-CN"/>
        </w:rPr>
        <w:t>一、特色与价值</w:t>
      </w:r>
    </w:p>
    <w:p>
      <w:pPr>
        <w:ind w:firstLine="640" w:firstLineChars="200"/>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仿宋" w:hAnsi="仿宋" w:eastAsia="仿宋" w:cs="仿宋"/>
          <w:b w:val="0"/>
          <w:bCs w:val="0"/>
          <w:i w:val="0"/>
          <w:iCs w:val="0"/>
          <w:caps w:val="0"/>
          <w:color w:val="333333"/>
          <w:spacing w:val="0"/>
          <w:sz w:val="32"/>
          <w:szCs w:val="32"/>
          <w:shd w:val="clear" w:fill="FFFFFF"/>
          <w:lang w:val="en-US" w:eastAsia="zh-CN"/>
        </w:rPr>
        <w:t>魁龙坊历史文化街区作为温麻老城中重要的居住片区，同时基于街区范围内诸多具有一定代表性的明清大厝与民国建筑，其特色价值可具体概括为：</w:t>
      </w:r>
    </w:p>
    <w:p>
      <w:pPr>
        <w:ind w:firstLine="640" w:firstLineChars="200"/>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仿宋" w:hAnsi="仿宋" w:eastAsia="仿宋" w:cs="仿宋"/>
          <w:b w:val="0"/>
          <w:bCs w:val="0"/>
          <w:i w:val="0"/>
          <w:iCs w:val="0"/>
          <w:caps w:val="0"/>
          <w:color w:val="333333"/>
          <w:spacing w:val="0"/>
          <w:sz w:val="32"/>
          <w:szCs w:val="32"/>
          <w:shd w:val="clear" w:fill="FFFFFF"/>
          <w:lang w:val="en-US" w:eastAsia="zh-CN"/>
        </w:rPr>
        <w:t>（1）魁龙坊是连江老城格局的重要组成部分；</w:t>
      </w:r>
    </w:p>
    <w:p>
      <w:pPr>
        <w:ind w:firstLine="640" w:firstLineChars="200"/>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仿宋" w:hAnsi="仿宋" w:eastAsia="仿宋" w:cs="仿宋"/>
          <w:b w:val="0"/>
          <w:bCs w:val="0"/>
          <w:i w:val="0"/>
          <w:iCs w:val="0"/>
          <w:caps w:val="0"/>
          <w:color w:val="333333"/>
          <w:spacing w:val="0"/>
          <w:sz w:val="32"/>
          <w:szCs w:val="32"/>
          <w:shd w:val="clear" w:fill="FFFFFF"/>
          <w:lang w:val="en-US" w:eastAsia="zh-CN"/>
        </w:rPr>
        <w:t>（2）魁龙坊是连江文风的集中体现地；</w:t>
      </w:r>
    </w:p>
    <w:p>
      <w:pPr>
        <w:ind w:firstLine="640" w:firstLineChars="200"/>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仿宋" w:hAnsi="仿宋" w:eastAsia="仿宋" w:cs="仿宋"/>
          <w:b w:val="0"/>
          <w:bCs w:val="0"/>
          <w:i w:val="0"/>
          <w:iCs w:val="0"/>
          <w:caps w:val="0"/>
          <w:color w:val="333333"/>
          <w:spacing w:val="0"/>
          <w:sz w:val="32"/>
          <w:szCs w:val="32"/>
          <w:shd w:val="clear" w:fill="FFFFFF"/>
          <w:lang w:val="en-US" w:eastAsia="zh-CN"/>
        </w:rPr>
        <w:t>（3）明清瑰宝、闽东民居——魁龙坊是突出展现了本地建筑特色的建筑博物馆；</w:t>
      </w:r>
    </w:p>
    <w:p>
      <w:pPr>
        <w:ind w:firstLine="640" w:firstLineChars="200"/>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仿宋" w:hAnsi="仿宋" w:eastAsia="仿宋" w:cs="仿宋"/>
          <w:b w:val="0"/>
          <w:bCs w:val="0"/>
          <w:i w:val="0"/>
          <w:iCs w:val="0"/>
          <w:caps w:val="0"/>
          <w:color w:val="333333"/>
          <w:spacing w:val="0"/>
          <w:sz w:val="32"/>
          <w:szCs w:val="32"/>
          <w:shd w:val="clear" w:fill="FFFFFF"/>
          <w:lang w:val="en-US" w:eastAsia="zh-CN"/>
        </w:rPr>
        <w:t>（4）魁龙坊是连江县城市发展和居民生产生活的展示窗口。</w:t>
      </w:r>
    </w:p>
    <w:p>
      <w:pPr>
        <w:numPr>
          <w:ilvl w:val="0"/>
          <w:numId w:val="0"/>
        </w:numPr>
        <w:ind w:firstLine="640" w:firstLineChars="200"/>
        <w:rPr>
          <w:rFonts w:hint="eastAsia" w:ascii="黑体" w:hAnsi="黑体" w:eastAsia="黑体" w:cs="黑体"/>
          <w:b w:val="0"/>
          <w:bCs w:val="0"/>
          <w:i w:val="0"/>
          <w:iCs w:val="0"/>
          <w:caps w:val="0"/>
          <w:color w:val="333333"/>
          <w:spacing w:val="0"/>
          <w:sz w:val="32"/>
          <w:szCs w:val="32"/>
          <w:shd w:val="clear" w:fill="FFFFFF"/>
          <w:lang w:val="en-US" w:eastAsia="zh-CN"/>
        </w:rPr>
      </w:pPr>
      <w:r>
        <w:rPr>
          <w:rFonts w:hint="eastAsia" w:ascii="黑体" w:hAnsi="黑体" w:eastAsia="黑体" w:cs="黑体"/>
          <w:b w:val="0"/>
          <w:bCs w:val="0"/>
          <w:i w:val="0"/>
          <w:iCs w:val="0"/>
          <w:caps w:val="0"/>
          <w:color w:val="333333"/>
          <w:spacing w:val="0"/>
          <w:sz w:val="32"/>
          <w:szCs w:val="32"/>
          <w:shd w:val="clear" w:fill="FFFFFF"/>
          <w:lang w:val="en-US" w:eastAsia="zh-CN"/>
        </w:rPr>
        <w:t>二、规划定位</w:t>
      </w:r>
    </w:p>
    <w:p>
      <w:pPr>
        <w:spacing w:line="360" w:lineRule="auto"/>
        <w:ind w:firstLine="640" w:firstLineChars="200"/>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仿宋" w:hAnsi="仿宋" w:eastAsia="仿宋" w:cs="仿宋"/>
          <w:b w:val="0"/>
          <w:bCs w:val="0"/>
          <w:i w:val="0"/>
          <w:iCs w:val="0"/>
          <w:caps w:val="0"/>
          <w:color w:val="333333"/>
          <w:spacing w:val="0"/>
          <w:sz w:val="32"/>
          <w:szCs w:val="32"/>
          <w:shd w:val="clear" w:fill="FFFFFF"/>
          <w:lang w:val="en-US" w:eastAsia="zh-CN"/>
        </w:rPr>
        <w:t>基于老城视角与自身视角双重维度，本轮规划将魁龙坊历史文化街区定位为：以教育、红色、商贸为鲜明特色，集商业、文化创新、旅游等多功能于一体的具有一定代表性与示范作用的历史文化街区。</w:t>
      </w:r>
    </w:p>
    <w:p>
      <w:pPr>
        <w:numPr>
          <w:ilvl w:val="0"/>
          <w:numId w:val="0"/>
        </w:numPr>
        <w:ind w:firstLine="640" w:firstLineChars="200"/>
        <w:rPr>
          <w:rFonts w:hint="eastAsia" w:ascii="黑体" w:hAnsi="黑体" w:eastAsia="黑体" w:cs="黑体"/>
          <w:b w:val="0"/>
          <w:bCs w:val="0"/>
          <w:i w:val="0"/>
          <w:iCs w:val="0"/>
          <w:caps w:val="0"/>
          <w:color w:val="333333"/>
          <w:spacing w:val="0"/>
          <w:sz w:val="32"/>
          <w:szCs w:val="32"/>
          <w:shd w:val="clear" w:fill="FFFFFF"/>
          <w:lang w:val="en-US" w:eastAsia="zh-CN"/>
        </w:rPr>
      </w:pPr>
      <w:r>
        <w:rPr>
          <w:rFonts w:hint="eastAsia" w:ascii="黑体" w:hAnsi="黑体" w:eastAsia="黑体" w:cs="黑体"/>
          <w:b w:val="0"/>
          <w:bCs w:val="0"/>
          <w:i w:val="0"/>
          <w:iCs w:val="0"/>
          <w:caps w:val="0"/>
          <w:color w:val="333333"/>
          <w:spacing w:val="0"/>
          <w:sz w:val="32"/>
          <w:szCs w:val="32"/>
          <w:shd w:val="clear" w:fill="FFFFFF"/>
          <w:lang w:val="en-US" w:eastAsia="zh-CN"/>
        </w:rPr>
        <w:t>三、保护区划</w:t>
      </w:r>
    </w:p>
    <w:p>
      <w:pPr>
        <w:spacing w:line="360" w:lineRule="auto"/>
        <w:ind w:firstLine="640" w:firstLineChars="200"/>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仿宋" w:hAnsi="仿宋" w:eastAsia="仿宋" w:cs="仿宋"/>
          <w:b w:val="0"/>
          <w:bCs w:val="0"/>
          <w:i w:val="0"/>
          <w:iCs w:val="0"/>
          <w:caps w:val="0"/>
          <w:color w:val="333333"/>
          <w:spacing w:val="0"/>
          <w:sz w:val="32"/>
          <w:szCs w:val="32"/>
          <w:shd w:val="clear" w:fill="FFFFFF"/>
          <w:lang w:val="en-US" w:eastAsia="zh-CN"/>
        </w:rPr>
        <w:t>（1）保护范围包括核心保护范围和建设控制地带，西至实验小学，东至三公巷，北至署前巷—后门田巷，南至玉荷西路，面积2.69公顷。具体范围以“保护区划图”所划定的范围为准。</w:t>
      </w:r>
    </w:p>
    <w:p>
      <w:pPr>
        <w:spacing w:line="360" w:lineRule="auto"/>
        <w:ind w:firstLine="640" w:firstLineChars="200"/>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仿宋" w:hAnsi="仿宋" w:eastAsia="仿宋" w:cs="仿宋"/>
          <w:b w:val="0"/>
          <w:bCs w:val="0"/>
          <w:i w:val="0"/>
          <w:iCs w:val="0"/>
          <w:caps w:val="0"/>
          <w:color w:val="333333"/>
          <w:spacing w:val="0"/>
          <w:sz w:val="32"/>
          <w:szCs w:val="32"/>
          <w:shd w:val="clear" w:fill="FFFFFF"/>
          <w:lang w:val="en-US" w:eastAsia="zh-CN"/>
        </w:rPr>
        <w:t>（2）核心保护范围：北至紫薇巷，东至天王前街，南至化龙街，西至祠堂弄，面积1.07公顷。具体范围以“保护区划图”所划定的范围为准。</w:t>
      </w:r>
    </w:p>
    <w:p>
      <w:pPr>
        <w:spacing w:line="360" w:lineRule="auto"/>
        <w:ind w:firstLine="640" w:firstLineChars="200"/>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仿宋" w:hAnsi="仿宋" w:eastAsia="仿宋" w:cs="仿宋"/>
          <w:b w:val="0"/>
          <w:bCs w:val="0"/>
          <w:i w:val="0"/>
          <w:iCs w:val="0"/>
          <w:caps w:val="0"/>
          <w:color w:val="333333"/>
          <w:spacing w:val="0"/>
          <w:sz w:val="32"/>
          <w:szCs w:val="32"/>
          <w:shd w:val="clear" w:fill="FFFFFF"/>
          <w:lang w:val="en-US" w:eastAsia="zh-CN"/>
        </w:rPr>
        <w:t>（3）建设控制地带：核心保护范围之外，东至三公巷，西至实验小学—化龙桥，南至玉荷西路—通城河沿线，北至后门田巷—署前巷，面积约1.62公顷。具体范围以“保护区划图”所划定的范围为准。</w:t>
      </w:r>
    </w:p>
    <w:p>
      <w:pPr>
        <w:spacing w:line="360" w:lineRule="auto"/>
        <w:ind w:firstLine="640" w:firstLineChars="200"/>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仿宋" w:hAnsi="仿宋" w:eastAsia="仿宋" w:cs="仿宋"/>
          <w:b w:val="0"/>
          <w:bCs w:val="0"/>
          <w:i w:val="0"/>
          <w:iCs w:val="0"/>
          <w:caps w:val="0"/>
          <w:color w:val="333333"/>
          <w:spacing w:val="0"/>
          <w:sz w:val="32"/>
          <w:szCs w:val="32"/>
          <w:shd w:val="clear" w:fill="FFFFFF"/>
          <w:lang w:val="en-US" w:eastAsia="zh-CN"/>
        </w:rPr>
        <w:t>（4）环境协调区：建设控制地带之外，西北侧至北门路，东至八一六中路，南至后门田巷，面积4.78公顷。具体范围以“保护区划图”所划定的范围为准。</w:t>
      </w:r>
    </w:p>
    <w:p>
      <w:pPr>
        <w:numPr>
          <w:ilvl w:val="0"/>
          <w:numId w:val="0"/>
        </w:numPr>
        <w:ind w:firstLine="640" w:firstLineChars="200"/>
        <w:rPr>
          <w:rFonts w:hint="eastAsia" w:ascii="黑体" w:hAnsi="黑体" w:eastAsia="黑体" w:cs="黑体"/>
          <w:b w:val="0"/>
          <w:bCs w:val="0"/>
          <w:i w:val="0"/>
          <w:iCs w:val="0"/>
          <w:caps w:val="0"/>
          <w:color w:val="333333"/>
          <w:spacing w:val="0"/>
          <w:sz w:val="32"/>
          <w:szCs w:val="32"/>
          <w:shd w:val="clear" w:fill="FFFFFF"/>
          <w:lang w:val="en-US" w:eastAsia="zh-CN"/>
        </w:rPr>
      </w:pPr>
      <w:r>
        <w:rPr>
          <w:rFonts w:hint="eastAsia" w:ascii="黑体" w:hAnsi="黑体" w:eastAsia="黑体" w:cs="黑体"/>
          <w:b w:val="0"/>
          <w:bCs w:val="0"/>
          <w:i w:val="0"/>
          <w:iCs w:val="0"/>
          <w:caps w:val="0"/>
          <w:color w:val="333333"/>
          <w:spacing w:val="0"/>
          <w:sz w:val="32"/>
          <w:szCs w:val="32"/>
          <w:shd w:val="clear" w:fill="FFFFFF"/>
          <w:lang w:val="en-US" w:eastAsia="zh-CN"/>
        </w:rPr>
        <w:t>四、保护框架</w:t>
      </w:r>
    </w:p>
    <w:tbl>
      <w:tblPr>
        <w:tblStyle w:val="5"/>
        <w:tblW w:w="5000" w:type="pct"/>
        <w:tblInd w:w="0" w:type="dxa"/>
        <w:tblLayout w:type="fixed"/>
        <w:tblCellMar>
          <w:top w:w="0" w:type="dxa"/>
          <w:left w:w="108" w:type="dxa"/>
          <w:bottom w:w="0" w:type="dxa"/>
          <w:right w:w="108" w:type="dxa"/>
        </w:tblCellMar>
      </w:tblPr>
      <w:tblGrid>
        <w:gridCol w:w="869"/>
        <w:gridCol w:w="1239"/>
        <w:gridCol w:w="4002"/>
        <w:gridCol w:w="2412"/>
      </w:tblGrid>
      <w:tr>
        <w:tblPrEx>
          <w:tblCellMar>
            <w:top w:w="0" w:type="dxa"/>
            <w:left w:w="108" w:type="dxa"/>
            <w:bottom w:w="0" w:type="dxa"/>
            <w:right w:w="108" w:type="dxa"/>
          </w:tblCellMar>
        </w:tblPrEx>
        <w:trPr>
          <w:trHeight w:val="810" w:hRule="atLeast"/>
        </w:trPr>
        <w:tc>
          <w:tcPr>
            <w:tcW w:w="509" w:type="pct"/>
            <w:vMerge w:val="restart"/>
            <w:tcBorders>
              <w:top w:val="single" w:color="auto" w:sz="4" w:space="0"/>
              <w:left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32"/>
                <w:szCs w:val="32"/>
              </w:rPr>
            </w:pPr>
            <w:bookmarkStart w:id="0" w:name="_Hlk115120699"/>
            <w:r>
              <w:rPr>
                <w:rFonts w:hint="eastAsia" w:ascii="仿宋" w:hAnsi="仿宋" w:eastAsia="仿宋" w:cs="仿宋"/>
                <w:color w:val="000000"/>
                <w:kern w:val="0"/>
                <w:sz w:val="32"/>
                <w:szCs w:val="32"/>
              </w:rPr>
              <w:t>人工环境和物质形态要素</w:t>
            </w:r>
          </w:p>
        </w:tc>
        <w:tc>
          <w:tcPr>
            <w:tcW w:w="726" w:type="pct"/>
            <w:tcBorders>
              <w:top w:val="single" w:color="auto" w:sz="4" w:space="0"/>
              <w:left w:val="nil"/>
              <w:bottom w:val="single" w:color="auto" w:sz="4" w:space="0"/>
              <w:right w:val="single" w:color="auto" w:sz="4" w:space="0"/>
            </w:tcBorders>
            <w:shd w:val="clear" w:color="auto" w:fill="auto"/>
            <w:noWrap/>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总体格局</w:t>
            </w:r>
          </w:p>
        </w:tc>
        <w:tc>
          <w:tcPr>
            <w:tcW w:w="3763" w:type="pct"/>
            <w:gridSpan w:val="2"/>
            <w:tcBorders>
              <w:top w:val="single" w:color="auto" w:sz="4" w:space="0"/>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rPr>
              <w:t>以横向三街巷，纵向五街巷为街区骨架，街巷之间有机串联想通共同构成的街巷网络体系以及明清大厝、民国建筑为主要建筑类型，经过更新改造后公共空间织补形成的特色空间，构成街区总体格局</w:t>
            </w:r>
            <w:r>
              <w:rPr>
                <w:rFonts w:hint="eastAsia" w:ascii="仿宋" w:hAnsi="仿宋" w:eastAsia="仿宋" w:cs="仿宋"/>
                <w:color w:val="000000"/>
                <w:kern w:val="0"/>
                <w:sz w:val="32"/>
                <w:szCs w:val="32"/>
                <w:lang w:eastAsia="zh-CN"/>
              </w:rPr>
              <w:t>。</w:t>
            </w:r>
          </w:p>
        </w:tc>
      </w:tr>
      <w:tr>
        <w:tblPrEx>
          <w:tblCellMar>
            <w:top w:w="0" w:type="dxa"/>
            <w:left w:w="108" w:type="dxa"/>
            <w:bottom w:w="0" w:type="dxa"/>
            <w:right w:w="108" w:type="dxa"/>
          </w:tblCellMar>
        </w:tblPrEx>
        <w:trPr>
          <w:trHeight w:val="810" w:hRule="atLeast"/>
        </w:trPr>
        <w:tc>
          <w:tcPr>
            <w:tcW w:w="509" w:type="pct"/>
            <w:vMerge w:val="continue"/>
            <w:tcBorders>
              <w:left w:val="single" w:color="auto" w:sz="4" w:space="0"/>
              <w:right w:val="single" w:color="auto" w:sz="4" w:space="0"/>
            </w:tcBorders>
            <w:vAlign w:val="center"/>
          </w:tcPr>
          <w:p>
            <w:pPr>
              <w:widowControl/>
              <w:rPr>
                <w:rFonts w:hint="eastAsia" w:ascii="仿宋" w:hAnsi="仿宋" w:eastAsia="仿宋" w:cs="仿宋"/>
                <w:color w:val="000000"/>
                <w:kern w:val="0"/>
                <w:sz w:val="32"/>
                <w:szCs w:val="32"/>
              </w:rPr>
            </w:pPr>
          </w:p>
        </w:tc>
        <w:tc>
          <w:tcPr>
            <w:tcW w:w="726" w:type="pct"/>
            <w:tcBorders>
              <w:top w:val="nil"/>
              <w:left w:val="nil"/>
              <w:bottom w:val="single" w:color="auto" w:sz="4" w:space="0"/>
              <w:right w:val="single" w:color="auto" w:sz="4" w:space="0"/>
            </w:tcBorders>
            <w:shd w:val="clear" w:color="auto" w:fill="auto"/>
            <w:noWrap/>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街巷格局</w:t>
            </w:r>
          </w:p>
        </w:tc>
        <w:tc>
          <w:tcPr>
            <w:tcW w:w="3763" w:type="pct"/>
            <w:gridSpan w:val="2"/>
            <w:tcBorders>
              <w:top w:val="single" w:color="auto" w:sz="4" w:space="0"/>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以东西向化龙街、南北向天王前街为街区主要骨架路网，以署前巷、和同里（和平路）、三公巷、寿山巷、安平巷、琏巷、紫薇巷、祠堂弄、后门田巷等支巷交织，共同串联构成的街巷网络体系。</w:t>
            </w:r>
          </w:p>
        </w:tc>
      </w:tr>
      <w:tr>
        <w:tblPrEx>
          <w:tblCellMar>
            <w:top w:w="0" w:type="dxa"/>
            <w:left w:w="108" w:type="dxa"/>
            <w:bottom w:w="0" w:type="dxa"/>
            <w:right w:w="108" w:type="dxa"/>
          </w:tblCellMar>
        </w:tblPrEx>
        <w:trPr>
          <w:trHeight w:val="270" w:hRule="atLeast"/>
        </w:trPr>
        <w:tc>
          <w:tcPr>
            <w:tcW w:w="509" w:type="pct"/>
            <w:vMerge w:val="continue"/>
            <w:tcBorders>
              <w:left w:val="single" w:color="auto" w:sz="4" w:space="0"/>
              <w:right w:val="single" w:color="auto" w:sz="4" w:space="0"/>
            </w:tcBorders>
            <w:vAlign w:val="center"/>
          </w:tcPr>
          <w:p>
            <w:pPr>
              <w:widowControl/>
              <w:rPr>
                <w:rFonts w:hint="eastAsia" w:ascii="仿宋" w:hAnsi="仿宋" w:eastAsia="仿宋" w:cs="仿宋"/>
                <w:color w:val="000000"/>
                <w:kern w:val="0"/>
                <w:sz w:val="32"/>
                <w:szCs w:val="32"/>
              </w:rPr>
            </w:pPr>
          </w:p>
        </w:tc>
        <w:tc>
          <w:tcPr>
            <w:tcW w:w="726" w:type="pct"/>
            <w:tcBorders>
              <w:top w:val="nil"/>
              <w:left w:val="nil"/>
              <w:right w:val="single" w:color="auto" w:sz="4" w:space="0"/>
            </w:tcBorders>
            <w:shd w:val="clear" w:color="auto" w:fill="auto"/>
            <w:noWrap/>
            <w:vAlign w:val="center"/>
          </w:tcPr>
          <w:p>
            <w:pPr>
              <w:rPr>
                <w:rFonts w:hint="eastAsia" w:ascii="仿宋" w:hAnsi="仿宋" w:eastAsia="仿宋" w:cs="仿宋"/>
                <w:color w:val="000000"/>
                <w:kern w:val="0"/>
                <w:sz w:val="32"/>
                <w:szCs w:val="32"/>
              </w:rPr>
            </w:pPr>
          </w:p>
        </w:tc>
        <w:tc>
          <w:tcPr>
            <w:tcW w:w="2348" w:type="pct"/>
            <w:tcBorders>
              <w:top w:val="nil"/>
              <w:left w:val="nil"/>
              <w:bottom w:val="single" w:color="auto" w:sz="4" w:space="0"/>
              <w:right w:val="single" w:color="auto" w:sz="4" w:space="0"/>
            </w:tcBorders>
            <w:shd w:val="clear" w:color="auto" w:fill="auto"/>
            <w:noWrap/>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省级文物保护单位</w:t>
            </w:r>
          </w:p>
        </w:tc>
        <w:tc>
          <w:tcPr>
            <w:tcW w:w="1415" w:type="pct"/>
            <w:tcBorders>
              <w:top w:val="nil"/>
              <w:left w:val="nil"/>
              <w:bottom w:val="single" w:color="auto" w:sz="4" w:space="0"/>
              <w:right w:val="single" w:color="auto" w:sz="4" w:space="0"/>
            </w:tcBorders>
            <w:shd w:val="clear" w:color="auto" w:fill="auto"/>
            <w:noWrap/>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1处：仙塔</w:t>
            </w:r>
          </w:p>
        </w:tc>
      </w:tr>
      <w:tr>
        <w:tblPrEx>
          <w:tblCellMar>
            <w:top w:w="0" w:type="dxa"/>
            <w:left w:w="108" w:type="dxa"/>
            <w:bottom w:w="0" w:type="dxa"/>
            <w:right w:w="108" w:type="dxa"/>
          </w:tblCellMar>
        </w:tblPrEx>
        <w:trPr>
          <w:trHeight w:val="270" w:hRule="atLeast"/>
        </w:trPr>
        <w:tc>
          <w:tcPr>
            <w:tcW w:w="509" w:type="pct"/>
            <w:vMerge w:val="continue"/>
            <w:tcBorders>
              <w:left w:val="single" w:color="auto" w:sz="4" w:space="0"/>
              <w:right w:val="single" w:color="auto" w:sz="4" w:space="0"/>
            </w:tcBorders>
            <w:vAlign w:val="center"/>
          </w:tcPr>
          <w:p>
            <w:pPr>
              <w:widowControl/>
              <w:rPr>
                <w:rFonts w:hint="eastAsia" w:ascii="仿宋" w:hAnsi="仿宋" w:eastAsia="仿宋" w:cs="仿宋"/>
                <w:color w:val="000000"/>
                <w:kern w:val="0"/>
                <w:sz w:val="32"/>
                <w:szCs w:val="32"/>
              </w:rPr>
            </w:pPr>
          </w:p>
        </w:tc>
        <w:tc>
          <w:tcPr>
            <w:tcW w:w="726" w:type="pct"/>
            <w:tcBorders>
              <w:top w:val="nil"/>
              <w:left w:val="nil"/>
              <w:right w:val="single" w:color="auto" w:sz="4" w:space="0"/>
            </w:tcBorders>
            <w:shd w:val="clear" w:color="auto" w:fill="auto"/>
            <w:noWrap/>
            <w:vAlign w:val="center"/>
          </w:tcPr>
          <w:p>
            <w:pP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文保单位</w:t>
            </w:r>
          </w:p>
        </w:tc>
        <w:tc>
          <w:tcPr>
            <w:tcW w:w="2348" w:type="pct"/>
            <w:tcBorders>
              <w:top w:val="nil"/>
              <w:left w:val="nil"/>
              <w:bottom w:val="single" w:color="auto" w:sz="4" w:space="0"/>
              <w:right w:val="single" w:color="auto" w:sz="4" w:space="0"/>
            </w:tcBorders>
            <w:shd w:val="clear" w:color="auto" w:fill="auto"/>
            <w:noWrap/>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县级文物保护单位</w:t>
            </w:r>
          </w:p>
        </w:tc>
        <w:tc>
          <w:tcPr>
            <w:tcW w:w="1415" w:type="pct"/>
            <w:tcBorders>
              <w:top w:val="nil"/>
              <w:left w:val="nil"/>
              <w:bottom w:val="single" w:color="auto" w:sz="4" w:space="0"/>
              <w:right w:val="single" w:color="auto" w:sz="4" w:space="0"/>
            </w:tcBorders>
            <w:shd w:val="clear" w:color="auto" w:fill="auto"/>
            <w:noWrap/>
            <w:vAlign w:val="center"/>
          </w:tcPr>
          <w:p>
            <w:pPr>
              <w:widowControl/>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lang w:val="en-US" w:eastAsia="zh-CN"/>
              </w:rPr>
              <w:t>4</w:t>
            </w:r>
            <w:r>
              <w:rPr>
                <w:rFonts w:hint="eastAsia" w:ascii="仿宋" w:hAnsi="仿宋" w:eastAsia="仿宋" w:cs="仿宋"/>
                <w:color w:val="000000"/>
                <w:kern w:val="0"/>
                <w:sz w:val="32"/>
                <w:szCs w:val="32"/>
              </w:rPr>
              <w:t>处：中山路13号、三公庙、孙氏宗祠</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rPr>
              <w:t>井兜井</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lang w:val="en-US" w:eastAsia="zh-CN"/>
              </w:rPr>
              <w:t>待定</w:t>
            </w:r>
            <w:r>
              <w:rPr>
                <w:rFonts w:hint="eastAsia" w:ascii="仿宋" w:hAnsi="仿宋" w:eastAsia="仿宋" w:cs="仿宋"/>
                <w:color w:val="000000"/>
                <w:kern w:val="0"/>
                <w:sz w:val="32"/>
                <w:szCs w:val="32"/>
                <w:lang w:eastAsia="zh-CN"/>
              </w:rPr>
              <w:t>）</w:t>
            </w:r>
          </w:p>
        </w:tc>
      </w:tr>
      <w:tr>
        <w:tblPrEx>
          <w:tblCellMar>
            <w:top w:w="0" w:type="dxa"/>
            <w:left w:w="108" w:type="dxa"/>
            <w:bottom w:w="0" w:type="dxa"/>
            <w:right w:w="108" w:type="dxa"/>
          </w:tblCellMar>
        </w:tblPrEx>
        <w:trPr>
          <w:trHeight w:val="1890" w:hRule="atLeast"/>
        </w:trPr>
        <w:tc>
          <w:tcPr>
            <w:tcW w:w="509" w:type="pct"/>
            <w:vMerge w:val="continue"/>
            <w:tcBorders>
              <w:left w:val="single" w:color="auto" w:sz="4" w:space="0"/>
              <w:right w:val="single" w:color="auto" w:sz="4" w:space="0"/>
            </w:tcBorders>
            <w:vAlign w:val="center"/>
          </w:tcPr>
          <w:p>
            <w:pPr>
              <w:widowControl/>
              <w:rPr>
                <w:rFonts w:hint="eastAsia" w:ascii="仿宋" w:hAnsi="仿宋" w:eastAsia="仿宋" w:cs="仿宋"/>
                <w:color w:val="000000"/>
                <w:kern w:val="0"/>
                <w:sz w:val="32"/>
                <w:szCs w:val="32"/>
              </w:rPr>
            </w:pPr>
          </w:p>
        </w:tc>
        <w:tc>
          <w:tcPr>
            <w:tcW w:w="726" w:type="pct"/>
            <w:tcBorders>
              <w:top w:val="nil"/>
              <w:left w:val="nil"/>
              <w:bottom w:val="single" w:color="auto" w:sz="4" w:space="0"/>
              <w:right w:val="single" w:color="auto" w:sz="4" w:space="0"/>
            </w:tcBorders>
            <w:shd w:val="clear" w:color="auto" w:fill="auto"/>
            <w:noWrap/>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历史建筑</w:t>
            </w:r>
          </w:p>
        </w:tc>
        <w:tc>
          <w:tcPr>
            <w:tcW w:w="3763" w:type="pct"/>
            <w:gridSpan w:val="2"/>
            <w:tcBorders>
              <w:top w:val="single" w:color="auto" w:sz="4" w:space="0"/>
              <w:left w:val="nil"/>
              <w:bottom w:val="single" w:color="auto" w:sz="4" w:space="0"/>
              <w:right w:val="single" w:color="000000" w:sz="4" w:space="0"/>
            </w:tcBorders>
            <w:shd w:val="clear" w:color="auto" w:fill="auto"/>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已公布历史建筑14处：中山路1号（爱吾庐、归园），中山路3号（雪里小院），中山路5号（竹筠院），中山路11号（修齐斋），中山路21号（杨家祖厝），中山路25号（游琏故居），中山路27号（游氏支祠），中山路29号（贤心苑），爱国路115号（秋江吟院），爱国路117号（原财政局），爱国路123号（万园公馆），爱国路125号（市井人家），爱国路130号（合璧小院），进步巷28号（疏影楼）</w:t>
            </w:r>
          </w:p>
        </w:tc>
      </w:tr>
      <w:tr>
        <w:tblPrEx>
          <w:tblCellMar>
            <w:top w:w="0" w:type="dxa"/>
            <w:left w:w="108" w:type="dxa"/>
            <w:bottom w:w="0" w:type="dxa"/>
            <w:right w:w="108" w:type="dxa"/>
          </w:tblCellMar>
        </w:tblPrEx>
        <w:trPr>
          <w:trHeight w:val="1080" w:hRule="atLeast"/>
        </w:trPr>
        <w:tc>
          <w:tcPr>
            <w:tcW w:w="509" w:type="pct"/>
            <w:vMerge w:val="continue"/>
            <w:tcBorders>
              <w:left w:val="single" w:color="auto" w:sz="4" w:space="0"/>
              <w:right w:val="single" w:color="auto" w:sz="4" w:space="0"/>
            </w:tcBorders>
            <w:vAlign w:val="center"/>
          </w:tcPr>
          <w:p>
            <w:pPr>
              <w:widowControl/>
              <w:rPr>
                <w:rFonts w:hint="eastAsia" w:ascii="仿宋" w:hAnsi="仿宋" w:eastAsia="仿宋" w:cs="仿宋"/>
                <w:color w:val="000000"/>
                <w:kern w:val="0"/>
                <w:sz w:val="32"/>
                <w:szCs w:val="32"/>
              </w:rPr>
            </w:pPr>
          </w:p>
        </w:tc>
        <w:tc>
          <w:tcPr>
            <w:tcW w:w="726" w:type="pct"/>
            <w:tcBorders>
              <w:top w:val="nil"/>
              <w:left w:val="nil"/>
              <w:bottom w:val="single" w:color="auto" w:sz="4" w:space="0"/>
              <w:right w:val="single" w:color="auto" w:sz="4" w:space="0"/>
            </w:tcBorders>
            <w:shd w:val="clear" w:color="auto" w:fill="auto"/>
            <w:noWrap/>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建议历史建筑</w:t>
            </w:r>
          </w:p>
        </w:tc>
        <w:tc>
          <w:tcPr>
            <w:tcW w:w="3763" w:type="pct"/>
            <w:gridSpan w:val="2"/>
            <w:tcBorders>
              <w:top w:val="single" w:color="auto" w:sz="4" w:space="0"/>
              <w:left w:val="nil"/>
              <w:bottom w:val="single" w:color="auto" w:sz="4" w:space="0"/>
              <w:right w:val="single" w:color="000000" w:sz="4" w:space="0"/>
            </w:tcBorders>
            <w:shd w:val="clear" w:color="auto" w:fill="auto"/>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建议历史建筑8处：分别为中山路7号（玉壶盧），中山路15号（雍平裏），爱国路124号（玲珑小筑），爱国路136号（三復园），进步巷30号（连氏古民居、蕙蘭院），进步巷32号（三井园）、原中山路97号、原中山路107号</w:t>
            </w:r>
          </w:p>
        </w:tc>
      </w:tr>
      <w:tr>
        <w:tblPrEx>
          <w:tblCellMar>
            <w:top w:w="0" w:type="dxa"/>
            <w:left w:w="108" w:type="dxa"/>
            <w:bottom w:w="0" w:type="dxa"/>
            <w:right w:w="108" w:type="dxa"/>
          </w:tblCellMar>
        </w:tblPrEx>
        <w:trPr>
          <w:trHeight w:val="4890" w:hRule="atLeast"/>
        </w:trPr>
        <w:tc>
          <w:tcPr>
            <w:tcW w:w="509" w:type="pct"/>
            <w:vMerge w:val="continue"/>
            <w:tcBorders>
              <w:left w:val="single" w:color="auto" w:sz="4" w:space="0"/>
              <w:right w:val="single" w:color="auto" w:sz="4" w:space="0"/>
            </w:tcBorders>
            <w:vAlign w:val="center"/>
          </w:tcPr>
          <w:p>
            <w:pPr>
              <w:widowControl/>
              <w:rPr>
                <w:rFonts w:hint="eastAsia" w:ascii="仿宋" w:hAnsi="仿宋" w:eastAsia="仿宋" w:cs="仿宋"/>
                <w:color w:val="000000"/>
                <w:kern w:val="0"/>
                <w:sz w:val="32"/>
                <w:szCs w:val="32"/>
              </w:rPr>
            </w:pPr>
          </w:p>
        </w:tc>
        <w:tc>
          <w:tcPr>
            <w:tcW w:w="726" w:type="pct"/>
            <w:vMerge w:val="restart"/>
            <w:tcBorders>
              <w:top w:val="nil"/>
              <w:left w:val="single" w:color="auto" w:sz="4" w:space="0"/>
              <w:right w:val="single" w:color="auto" w:sz="4" w:space="0"/>
            </w:tcBorders>
            <w:shd w:val="clear" w:color="auto" w:fill="auto"/>
            <w:noWrap/>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历史环境要素</w:t>
            </w:r>
          </w:p>
        </w:tc>
        <w:tc>
          <w:tcPr>
            <w:tcW w:w="2348" w:type="pct"/>
            <w:tcBorders>
              <w:top w:val="nil"/>
              <w:left w:val="nil"/>
              <w:bottom w:val="single" w:color="auto" w:sz="4" w:space="0"/>
              <w:right w:val="single" w:color="auto" w:sz="4" w:space="0"/>
            </w:tcBorders>
            <w:shd w:val="clear" w:color="auto" w:fill="auto"/>
            <w:noWrap/>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古井</w:t>
            </w:r>
          </w:p>
        </w:tc>
        <w:tc>
          <w:tcPr>
            <w:tcW w:w="1415" w:type="pct"/>
            <w:tcBorders>
              <w:top w:val="nil"/>
              <w:left w:val="nil"/>
              <w:bottom w:val="single" w:color="auto" w:sz="4" w:space="0"/>
              <w:right w:val="single" w:color="auto" w:sz="4" w:space="0"/>
            </w:tcBorders>
            <w:shd w:val="clear" w:color="auto" w:fill="auto"/>
            <w:vAlign w:val="center"/>
          </w:tcPr>
          <w:p>
            <w:pPr>
              <w:widowControl/>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9</w:t>
            </w:r>
            <w:r>
              <w:rPr>
                <w:rFonts w:hint="eastAsia" w:ascii="仿宋" w:hAnsi="仿宋" w:eastAsia="仿宋" w:cs="仿宋"/>
                <w:color w:val="000000"/>
                <w:kern w:val="0"/>
                <w:sz w:val="32"/>
                <w:szCs w:val="32"/>
              </w:rPr>
              <w:t>处：归园井、后</w:t>
            </w:r>
            <w:r>
              <w:rPr>
                <w:rFonts w:hint="eastAsia" w:ascii="仿宋" w:hAnsi="仿宋" w:eastAsia="仿宋" w:cs="仿宋"/>
                <w:color w:val="000000"/>
                <w:kern w:val="0"/>
                <w:sz w:val="32"/>
                <w:szCs w:val="32"/>
                <w:lang w:val="en-US" w:eastAsia="zh-CN"/>
              </w:rPr>
              <w:t>门</w:t>
            </w:r>
            <w:r>
              <w:rPr>
                <w:rFonts w:hint="eastAsia" w:ascii="仿宋" w:hAnsi="仿宋" w:eastAsia="仿宋" w:cs="仿宋"/>
                <w:color w:val="000000"/>
                <w:kern w:val="0"/>
                <w:sz w:val="32"/>
                <w:szCs w:val="32"/>
              </w:rPr>
              <w:t>田井、祠堂弄井、魁龙井、</w:t>
            </w:r>
            <w:r>
              <w:rPr>
                <w:rFonts w:hint="eastAsia" w:ascii="仿宋" w:hAnsi="仿宋" w:eastAsia="仿宋" w:cs="仿宋"/>
                <w:color w:val="auto"/>
                <w:kern w:val="0"/>
                <w:sz w:val="32"/>
                <w:szCs w:val="32"/>
                <w:highlight w:val="none"/>
                <w:lang w:val="en-US" w:eastAsia="zh-CN"/>
              </w:rPr>
              <w:t>惠薇井</w:t>
            </w:r>
            <w:r>
              <w:rPr>
                <w:rFonts w:hint="eastAsia" w:ascii="仿宋" w:hAnsi="仿宋" w:eastAsia="仿宋" w:cs="仿宋"/>
                <w:color w:val="000000"/>
                <w:kern w:val="0"/>
                <w:sz w:val="32"/>
                <w:szCs w:val="32"/>
              </w:rPr>
              <w:t>、里弄水井、锣井、游氏老井</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lang w:val="en-US" w:eastAsia="zh-CN"/>
              </w:rPr>
              <w:t>井兜井</w:t>
            </w:r>
          </w:p>
        </w:tc>
      </w:tr>
      <w:tr>
        <w:tblPrEx>
          <w:tblCellMar>
            <w:top w:w="0" w:type="dxa"/>
            <w:left w:w="108" w:type="dxa"/>
            <w:bottom w:w="0" w:type="dxa"/>
            <w:right w:w="108" w:type="dxa"/>
          </w:tblCellMar>
        </w:tblPrEx>
        <w:trPr>
          <w:trHeight w:val="810" w:hRule="atLeast"/>
        </w:trPr>
        <w:tc>
          <w:tcPr>
            <w:tcW w:w="509" w:type="pct"/>
            <w:vMerge w:val="continue"/>
            <w:tcBorders>
              <w:left w:val="single" w:color="auto" w:sz="4" w:space="0"/>
              <w:right w:val="single" w:color="auto" w:sz="4" w:space="0"/>
            </w:tcBorders>
            <w:vAlign w:val="center"/>
          </w:tcPr>
          <w:p>
            <w:pPr>
              <w:widowControl/>
              <w:rPr>
                <w:rFonts w:hint="eastAsia" w:ascii="仿宋" w:hAnsi="仿宋" w:eastAsia="仿宋" w:cs="仿宋"/>
                <w:color w:val="000000"/>
                <w:kern w:val="0"/>
                <w:sz w:val="32"/>
                <w:szCs w:val="32"/>
              </w:rPr>
            </w:pPr>
          </w:p>
        </w:tc>
        <w:tc>
          <w:tcPr>
            <w:tcW w:w="726" w:type="pct"/>
            <w:vMerge w:val="continue"/>
            <w:tcBorders>
              <w:left w:val="single" w:color="auto" w:sz="4" w:space="0"/>
              <w:right w:val="single" w:color="auto" w:sz="4" w:space="0"/>
            </w:tcBorders>
            <w:vAlign w:val="center"/>
          </w:tcPr>
          <w:p>
            <w:pPr>
              <w:widowControl/>
              <w:rPr>
                <w:rFonts w:hint="eastAsia" w:ascii="仿宋" w:hAnsi="仿宋" w:eastAsia="仿宋" w:cs="仿宋"/>
                <w:color w:val="000000"/>
                <w:kern w:val="0"/>
                <w:sz w:val="32"/>
                <w:szCs w:val="32"/>
              </w:rPr>
            </w:pPr>
          </w:p>
        </w:tc>
        <w:tc>
          <w:tcPr>
            <w:tcW w:w="2348" w:type="pct"/>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古桥</w:t>
            </w:r>
          </w:p>
        </w:tc>
        <w:tc>
          <w:tcPr>
            <w:tcW w:w="1415" w:type="pct"/>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3处：化龙桥、石桥（巷柄桥）、金</w:t>
            </w:r>
            <w:r>
              <w:rPr>
                <w:rFonts w:hint="eastAsia" w:ascii="仿宋" w:hAnsi="仿宋" w:eastAsia="仿宋" w:cs="仿宋"/>
                <w:color w:val="000000"/>
                <w:kern w:val="0"/>
                <w:sz w:val="32"/>
                <w:szCs w:val="32"/>
                <w:lang w:val="en-US" w:eastAsia="zh-CN"/>
              </w:rPr>
              <w:t>璧</w:t>
            </w:r>
            <w:r>
              <w:rPr>
                <w:rFonts w:hint="eastAsia" w:ascii="仿宋" w:hAnsi="仿宋" w:eastAsia="仿宋" w:cs="仿宋"/>
                <w:color w:val="000000"/>
                <w:kern w:val="0"/>
                <w:sz w:val="32"/>
                <w:szCs w:val="32"/>
              </w:rPr>
              <w:t>桥</w:t>
            </w:r>
          </w:p>
        </w:tc>
      </w:tr>
      <w:tr>
        <w:tblPrEx>
          <w:tblCellMar>
            <w:top w:w="0" w:type="dxa"/>
            <w:left w:w="108" w:type="dxa"/>
            <w:bottom w:w="0" w:type="dxa"/>
            <w:right w:w="108" w:type="dxa"/>
          </w:tblCellMar>
        </w:tblPrEx>
        <w:trPr>
          <w:trHeight w:val="810" w:hRule="atLeast"/>
        </w:trPr>
        <w:tc>
          <w:tcPr>
            <w:tcW w:w="509" w:type="pct"/>
            <w:vMerge w:val="continue"/>
            <w:tcBorders>
              <w:left w:val="single" w:color="auto" w:sz="4" w:space="0"/>
              <w:bottom w:val="single" w:color="auto" w:sz="4" w:space="0"/>
              <w:right w:val="single" w:color="auto" w:sz="4" w:space="0"/>
            </w:tcBorders>
            <w:vAlign w:val="center"/>
          </w:tcPr>
          <w:p>
            <w:pPr>
              <w:widowControl/>
              <w:rPr>
                <w:rFonts w:hint="eastAsia" w:ascii="仿宋" w:hAnsi="仿宋" w:eastAsia="仿宋" w:cs="仿宋"/>
                <w:color w:val="000000"/>
                <w:kern w:val="0"/>
                <w:sz w:val="32"/>
                <w:szCs w:val="32"/>
              </w:rPr>
            </w:pPr>
          </w:p>
        </w:tc>
        <w:tc>
          <w:tcPr>
            <w:tcW w:w="726" w:type="pct"/>
            <w:vMerge w:val="continue"/>
            <w:tcBorders>
              <w:left w:val="single" w:color="auto" w:sz="4" w:space="0"/>
              <w:bottom w:val="single" w:color="auto" w:sz="4" w:space="0"/>
              <w:right w:val="single" w:color="auto" w:sz="4" w:space="0"/>
            </w:tcBorders>
            <w:vAlign w:val="center"/>
          </w:tcPr>
          <w:p>
            <w:pPr>
              <w:widowControl/>
              <w:rPr>
                <w:rFonts w:hint="eastAsia" w:ascii="仿宋" w:hAnsi="仿宋" w:eastAsia="仿宋" w:cs="仿宋"/>
                <w:color w:val="000000"/>
                <w:kern w:val="0"/>
                <w:sz w:val="32"/>
                <w:szCs w:val="32"/>
              </w:rPr>
            </w:pPr>
          </w:p>
        </w:tc>
        <w:tc>
          <w:tcPr>
            <w:tcW w:w="2348" w:type="pct"/>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院墙</w:t>
            </w:r>
          </w:p>
        </w:tc>
        <w:tc>
          <w:tcPr>
            <w:tcW w:w="1415" w:type="pct"/>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1处：中山路25号（游琏故居）第二进</w:t>
            </w:r>
            <w:bookmarkStart w:id="1" w:name="_GoBack"/>
            <w:bookmarkEnd w:id="1"/>
            <w:r>
              <w:rPr>
                <w:rFonts w:hint="eastAsia" w:ascii="仿宋" w:hAnsi="仿宋" w:eastAsia="仿宋" w:cs="仿宋"/>
                <w:color w:val="000000"/>
                <w:kern w:val="0"/>
                <w:sz w:val="32"/>
                <w:szCs w:val="32"/>
              </w:rPr>
              <w:t>断墙</w:t>
            </w:r>
          </w:p>
        </w:tc>
      </w:tr>
      <w:tr>
        <w:tblPrEx>
          <w:tblCellMar>
            <w:top w:w="0" w:type="dxa"/>
            <w:left w:w="108" w:type="dxa"/>
            <w:bottom w:w="0" w:type="dxa"/>
            <w:right w:w="108" w:type="dxa"/>
          </w:tblCellMar>
        </w:tblPrEx>
        <w:trPr>
          <w:trHeight w:val="906" w:hRule="atLeast"/>
        </w:trPr>
        <w:tc>
          <w:tcPr>
            <w:tcW w:w="509" w:type="pct"/>
            <w:vMerge w:val="restart"/>
            <w:tcBorders>
              <w:top w:val="nil"/>
              <w:left w:val="single" w:color="auto" w:sz="4" w:space="0"/>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人文环境和非物质文化遗产及优秀传统文化要素</w:t>
            </w:r>
          </w:p>
        </w:tc>
        <w:tc>
          <w:tcPr>
            <w:tcW w:w="726" w:type="pct"/>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传统美术、书法、音乐、舞蹈、戏剧、曲艺和杂技</w:t>
            </w:r>
          </w:p>
        </w:tc>
        <w:tc>
          <w:tcPr>
            <w:tcW w:w="3763" w:type="pct"/>
            <w:gridSpan w:val="2"/>
            <w:tcBorders>
              <w:top w:val="single" w:color="auto" w:sz="4" w:space="0"/>
              <w:left w:val="nil"/>
              <w:bottom w:val="single" w:color="auto" w:sz="4" w:space="0"/>
              <w:right w:val="single" w:color="000000" w:sz="4" w:space="0"/>
            </w:tcBorders>
            <w:shd w:val="clear" w:color="auto" w:fill="auto"/>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连江闽剧、仁山拉线狮、十番音乐、连江特色海产品等</w:t>
            </w:r>
          </w:p>
        </w:tc>
      </w:tr>
      <w:tr>
        <w:tblPrEx>
          <w:tblCellMar>
            <w:top w:w="0" w:type="dxa"/>
            <w:left w:w="108" w:type="dxa"/>
            <w:bottom w:w="0" w:type="dxa"/>
            <w:right w:w="108" w:type="dxa"/>
          </w:tblCellMar>
        </w:tblPrEx>
        <w:trPr>
          <w:trHeight w:val="5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rPr>
                <w:rFonts w:hint="eastAsia" w:ascii="仿宋" w:hAnsi="仿宋" w:eastAsia="仿宋" w:cs="仿宋"/>
                <w:color w:val="000000"/>
                <w:kern w:val="0"/>
                <w:sz w:val="32"/>
                <w:szCs w:val="32"/>
              </w:rPr>
            </w:pPr>
          </w:p>
        </w:tc>
        <w:tc>
          <w:tcPr>
            <w:tcW w:w="726" w:type="pct"/>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传统技艺、医药和历法</w:t>
            </w:r>
          </w:p>
        </w:tc>
        <w:tc>
          <w:tcPr>
            <w:tcW w:w="3763" w:type="pct"/>
            <w:gridSpan w:val="2"/>
            <w:tcBorders>
              <w:top w:val="single" w:color="auto" w:sz="4" w:space="0"/>
              <w:left w:val="nil"/>
              <w:bottom w:val="single" w:color="auto" w:sz="4" w:space="0"/>
              <w:right w:val="single" w:color="000000" w:sz="4" w:space="0"/>
            </w:tcBorders>
            <w:shd w:val="clear" w:color="auto" w:fill="auto"/>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连江鱼丸、古蒸燕、传统中医等</w:t>
            </w:r>
          </w:p>
        </w:tc>
      </w:tr>
      <w:tr>
        <w:tblPrEx>
          <w:tblCellMar>
            <w:top w:w="0" w:type="dxa"/>
            <w:left w:w="108" w:type="dxa"/>
            <w:bottom w:w="0" w:type="dxa"/>
            <w:right w:w="108" w:type="dxa"/>
          </w:tblCellMar>
        </w:tblPrEx>
        <w:trPr>
          <w:trHeight w:val="2308"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rPr>
                <w:rFonts w:hint="eastAsia" w:ascii="仿宋" w:hAnsi="仿宋" w:eastAsia="仿宋" w:cs="仿宋"/>
                <w:color w:val="000000"/>
                <w:kern w:val="0"/>
                <w:sz w:val="32"/>
                <w:szCs w:val="32"/>
              </w:rPr>
            </w:pPr>
          </w:p>
        </w:tc>
        <w:tc>
          <w:tcPr>
            <w:tcW w:w="726" w:type="pct"/>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传统礼仪、节庆等民俗</w:t>
            </w:r>
          </w:p>
        </w:tc>
        <w:tc>
          <w:tcPr>
            <w:tcW w:w="3763" w:type="pct"/>
            <w:gridSpan w:val="2"/>
            <w:tcBorders>
              <w:top w:val="single" w:color="auto" w:sz="4" w:space="0"/>
              <w:left w:val="nil"/>
              <w:bottom w:val="single" w:color="auto" w:sz="4" w:space="0"/>
              <w:right w:val="single" w:color="000000" w:sz="4" w:space="0"/>
            </w:tcBorders>
            <w:shd w:val="clear" w:color="auto" w:fill="auto"/>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魁龙饯行、宗祠祭祖、三公拜神、做年（春节）、祭灶等</w:t>
            </w:r>
          </w:p>
        </w:tc>
      </w:tr>
      <w:tr>
        <w:tblPrEx>
          <w:tblCellMar>
            <w:top w:w="0" w:type="dxa"/>
            <w:left w:w="108" w:type="dxa"/>
            <w:bottom w:w="0" w:type="dxa"/>
            <w:right w:w="108" w:type="dxa"/>
          </w:tblCellMar>
        </w:tblPrEx>
        <w:trPr>
          <w:trHeight w:val="5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rPr>
                <w:rFonts w:hint="eastAsia" w:ascii="仿宋" w:hAnsi="仿宋" w:eastAsia="仿宋" w:cs="仿宋"/>
                <w:color w:val="000000"/>
                <w:kern w:val="0"/>
                <w:sz w:val="32"/>
                <w:szCs w:val="32"/>
              </w:rPr>
            </w:pPr>
          </w:p>
        </w:tc>
        <w:tc>
          <w:tcPr>
            <w:tcW w:w="726" w:type="pct"/>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其他非物质文化遗产</w:t>
            </w:r>
          </w:p>
        </w:tc>
        <w:tc>
          <w:tcPr>
            <w:tcW w:w="3763" w:type="pct"/>
            <w:gridSpan w:val="2"/>
            <w:tcBorders>
              <w:top w:val="single" w:color="auto" w:sz="4" w:space="0"/>
              <w:left w:val="nil"/>
              <w:bottom w:val="single" w:color="auto" w:sz="4" w:space="0"/>
              <w:right w:val="single" w:color="000000" w:sz="4" w:space="0"/>
            </w:tcBorders>
            <w:shd w:val="clear" w:color="auto" w:fill="auto"/>
            <w:vAlign w:val="center"/>
          </w:tcPr>
          <w:p>
            <w:pPr>
              <w:widowControl/>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国耻断墙（红色文化）、临水宫信仰等</w:t>
            </w:r>
          </w:p>
        </w:tc>
      </w:tr>
      <w:bookmarkEnd w:id="0"/>
    </w:tbl>
    <w:p>
      <w:pPr>
        <w:numPr>
          <w:ilvl w:val="0"/>
          <w:numId w:val="0"/>
        </w:numPr>
        <w:ind w:firstLine="640" w:firstLineChars="200"/>
        <w:rPr>
          <w:rFonts w:hint="eastAsia" w:ascii="黑体" w:hAnsi="黑体" w:eastAsia="黑体" w:cs="黑体"/>
          <w:b w:val="0"/>
          <w:bCs w:val="0"/>
          <w:i w:val="0"/>
          <w:iCs w:val="0"/>
          <w:caps w:val="0"/>
          <w:color w:val="333333"/>
          <w:spacing w:val="0"/>
          <w:sz w:val="32"/>
          <w:szCs w:val="32"/>
          <w:shd w:val="clear" w:fill="FFFFFF"/>
          <w:lang w:val="en-US" w:eastAsia="zh-CN"/>
        </w:rPr>
      </w:pPr>
      <w:r>
        <w:rPr>
          <w:rFonts w:hint="eastAsia" w:ascii="黑体" w:hAnsi="黑体" w:eastAsia="黑体" w:cs="黑体"/>
          <w:b w:val="0"/>
          <w:bCs w:val="0"/>
          <w:i w:val="0"/>
          <w:iCs w:val="0"/>
          <w:caps w:val="0"/>
          <w:color w:val="333333"/>
          <w:spacing w:val="0"/>
          <w:sz w:val="32"/>
          <w:szCs w:val="32"/>
          <w:shd w:val="clear" w:fill="FFFFFF"/>
          <w:lang w:val="en-US" w:eastAsia="zh-CN"/>
        </w:rPr>
        <w:t>五、功能结构</w:t>
      </w:r>
    </w:p>
    <w:p>
      <w:pPr>
        <w:spacing w:line="360" w:lineRule="auto"/>
        <w:ind w:firstLine="640" w:firstLineChars="200"/>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仿宋" w:hAnsi="仿宋" w:eastAsia="仿宋" w:cs="仿宋"/>
          <w:b w:val="0"/>
          <w:bCs w:val="0"/>
          <w:i w:val="0"/>
          <w:iCs w:val="0"/>
          <w:caps w:val="0"/>
          <w:color w:val="333333"/>
          <w:spacing w:val="0"/>
          <w:sz w:val="32"/>
          <w:szCs w:val="32"/>
          <w:shd w:val="clear" w:fill="FFFFFF"/>
          <w:lang w:val="en-US" w:eastAsia="zh-CN"/>
        </w:rPr>
        <w:t>魁龙坊历史文化街区形成“两轴、三片、多节点”的功能结构。</w:t>
      </w:r>
    </w:p>
    <w:p>
      <w:pPr>
        <w:spacing w:line="360" w:lineRule="auto"/>
        <w:ind w:firstLine="640" w:firstLineChars="200"/>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仿宋" w:hAnsi="仿宋" w:eastAsia="仿宋" w:cs="仿宋"/>
          <w:b w:val="0"/>
          <w:bCs w:val="0"/>
          <w:i w:val="0"/>
          <w:iCs w:val="0"/>
          <w:caps w:val="0"/>
          <w:color w:val="333333"/>
          <w:spacing w:val="0"/>
          <w:sz w:val="32"/>
          <w:szCs w:val="32"/>
          <w:shd w:val="clear" w:fill="FFFFFF"/>
          <w:lang w:val="en-US" w:eastAsia="zh-CN"/>
        </w:rPr>
        <w:t>“两轴”：通城河沿线化龙街—和同里传统文化传承轴，以及天王前街沿线市井商贸文化发展轴，作为街区内主要打造的两条重要轴线，分别体现街区不同历史文化场景，延续与传承街区多元文化融合交融的包容性特征。</w:t>
      </w:r>
    </w:p>
    <w:p>
      <w:pPr>
        <w:spacing w:line="360" w:lineRule="auto"/>
        <w:ind w:firstLine="640" w:firstLineChars="200"/>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仿宋" w:hAnsi="仿宋" w:eastAsia="仿宋" w:cs="仿宋"/>
          <w:b w:val="0"/>
          <w:bCs w:val="0"/>
          <w:i w:val="0"/>
          <w:iCs w:val="0"/>
          <w:caps w:val="0"/>
          <w:color w:val="333333"/>
          <w:spacing w:val="0"/>
          <w:sz w:val="32"/>
          <w:szCs w:val="32"/>
          <w:shd w:val="clear" w:fill="FFFFFF"/>
          <w:lang w:val="en-US" w:eastAsia="zh-CN"/>
        </w:rPr>
        <w:t>“三片区”：规划具体在现状更新改造后的业态功能布局基础上进一步优化，形成三个片区，分别为以化龙街为主轴两侧建筑为依托形成以文化展览，红色文化为主题的传统文化展示片区；以天王前街为主轴两侧建筑为依托形成以商业零售、餐饮娱乐，公共服务功能为主题的市井商贸片区；以紫薇巷为主线两侧建筑为依托形成以非物质文化传承体验、文创办公、公共服务等为主体的文化休闲创意片区。</w:t>
      </w:r>
    </w:p>
    <w:p>
      <w:pPr>
        <w:spacing w:line="360" w:lineRule="auto"/>
        <w:ind w:firstLine="640" w:firstLineChars="200"/>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仿宋" w:hAnsi="仿宋" w:eastAsia="仿宋" w:cs="仿宋"/>
          <w:b w:val="0"/>
          <w:bCs w:val="0"/>
          <w:i w:val="0"/>
          <w:iCs w:val="0"/>
          <w:caps w:val="0"/>
          <w:color w:val="333333"/>
          <w:spacing w:val="0"/>
          <w:sz w:val="32"/>
          <w:szCs w:val="32"/>
          <w:shd w:val="clear" w:fill="FFFFFF"/>
          <w:lang w:val="en-US" w:eastAsia="zh-CN"/>
        </w:rPr>
        <w:t>“多节点”：以化龙桥、紫薇巷街巷口袋公园、井兜井、金璧桥、石桥（巷柄桥）、魁龙坊（历史信息点）、仙塔广场、孙氏宗祠等为核心的公共空间节点。</w:t>
      </w:r>
    </w:p>
    <w:p>
      <w:pPr>
        <w:spacing w:line="360" w:lineRule="auto"/>
        <w:ind w:firstLine="640" w:firstLineChars="200"/>
        <w:rPr>
          <w:rFonts w:hint="eastAsia" w:ascii="仿宋" w:hAnsi="仿宋" w:eastAsia="仿宋" w:cs="仿宋"/>
          <w:b w:val="0"/>
          <w:bCs w:val="0"/>
          <w:i w:val="0"/>
          <w:iCs w:val="0"/>
          <w:caps w:val="0"/>
          <w:color w:val="333333"/>
          <w:spacing w:val="0"/>
          <w:sz w:val="32"/>
          <w:szCs w:val="32"/>
          <w:shd w:val="clear" w:fill="FFFFFF"/>
          <w:lang w:val="en-US" w:eastAsia="zh-CN"/>
        </w:rPr>
      </w:pPr>
    </w:p>
    <w:p>
      <w:pPr>
        <w:numPr>
          <w:ilvl w:val="0"/>
          <w:numId w:val="0"/>
        </w:numPr>
        <w:spacing w:line="360" w:lineRule="auto"/>
        <w:rPr>
          <w:rFonts w:hint="eastAsia" w:ascii="仿宋" w:hAnsi="仿宋" w:eastAsia="仿宋" w:cs="仿宋"/>
          <w:b w:val="0"/>
          <w:bCs w:val="0"/>
          <w:i w:val="0"/>
          <w:iCs w:val="0"/>
          <w:caps w:val="0"/>
          <w:color w:val="333333"/>
          <w:spacing w:val="0"/>
          <w:sz w:val="32"/>
          <w:szCs w:val="32"/>
          <w:shd w:val="clear" w:fill="FFFFFF"/>
          <w:lang w:val="en-US" w:eastAsia="zh-CN"/>
        </w:rPr>
      </w:pPr>
    </w:p>
    <w:p>
      <w:pPr>
        <w:numPr>
          <w:ilvl w:val="0"/>
          <w:numId w:val="0"/>
        </w:numPr>
        <w:spacing w:line="360" w:lineRule="auto"/>
        <w:rPr>
          <w:rFonts w:hint="eastAsia" w:ascii="仿宋" w:hAnsi="仿宋" w:eastAsia="仿宋" w:cs="仿宋"/>
          <w:b w:val="0"/>
          <w:bCs w:val="0"/>
          <w:i w:val="0"/>
          <w:iCs w:val="0"/>
          <w:caps w:val="0"/>
          <w:color w:val="333333"/>
          <w:spacing w:val="0"/>
          <w:sz w:val="32"/>
          <w:szCs w:val="32"/>
          <w:shd w:val="clear" w:fill="FFFFFF"/>
          <w:lang w:val="en-US" w:eastAsia="zh-CN"/>
        </w:rPr>
      </w:pPr>
    </w:p>
    <w:p>
      <w:pPr>
        <w:numPr>
          <w:ilvl w:val="0"/>
          <w:numId w:val="0"/>
        </w:numPr>
        <w:spacing w:line="360" w:lineRule="auto"/>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仿宋" w:hAnsi="仿宋" w:eastAsia="仿宋" w:cs="仿宋"/>
          <w:b w:val="0"/>
          <w:bCs w:val="0"/>
          <w:i w:val="0"/>
          <w:iCs w:val="0"/>
          <w:caps w:val="0"/>
          <w:color w:val="333333"/>
          <w:spacing w:val="0"/>
          <w:sz w:val="32"/>
          <w:szCs w:val="32"/>
          <w:shd w:val="clear" w:fill="FFFFFF"/>
          <w:lang w:val="en-US" w:eastAsia="zh-CN"/>
        </w:rPr>
        <w:drawing>
          <wp:inline distT="0" distB="0" distL="114300" distR="114300">
            <wp:extent cx="5267960" cy="3721100"/>
            <wp:effectExtent l="0" t="0" r="5080" b="12700"/>
            <wp:docPr id="1" name="图片 1" descr="02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规划范围图"/>
                    <pic:cNvPicPr>
                      <a:picLocks noChangeAspect="1"/>
                    </pic:cNvPicPr>
                  </pic:nvPicPr>
                  <pic:blipFill>
                    <a:blip r:embed="rId4"/>
                    <a:stretch>
                      <a:fillRect/>
                    </a:stretch>
                  </pic:blipFill>
                  <pic:spPr>
                    <a:xfrm>
                      <a:off x="0" y="0"/>
                      <a:ext cx="5267960" cy="3721100"/>
                    </a:xfrm>
                    <a:prstGeom prst="rect">
                      <a:avLst/>
                    </a:prstGeom>
                  </pic:spPr>
                </pic:pic>
              </a:graphicData>
            </a:graphic>
          </wp:inline>
        </w:drawing>
      </w:r>
    </w:p>
    <w:p>
      <w:pPr>
        <w:pStyle w:val="3"/>
        <w:numPr>
          <w:ilvl w:val="0"/>
          <w:numId w:val="0"/>
        </w:numPr>
        <w:spacing w:line="360" w:lineRule="auto"/>
        <w:jc w:val="center"/>
        <w:rPr>
          <w:rFonts w:hint="eastAsia" w:ascii="仿宋" w:hAnsi="仿宋" w:eastAsia="仿宋" w:cs="仿宋"/>
          <w:b w:val="0"/>
          <w:bCs w:val="0"/>
          <w:i w:val="0"/>
          <w:iCs w:val="0"/>
          <w:caps w:val="0"/>
          <w:color w:val="333333"/>
          <w:spacing w:val="0"/>
          <w:sz w:val="32"/>
          <w:szCs w:val="32"/>
          <w:shd w:val="clear" w:fill="FFFFFF"/>
          <w:lang w:val="en-US" w:eastAsia="zh-CN"/>
        </w:rPr>
      </w:pPr>
      <w:r>
        <w:rPr>
          <w:rFonts w:hint="eastAsia" w:ascii="仿宋" w:hAnsi="仿宋" w:eastAsia="仿宋" w:cs="仿宋"/>
          <w:b/>
          <w:bCs/>
          <w:sz w:val="32"/>
          <w:szCs w:val="32"/>
        </w:rPr>
        <w:t xml:space="preserve">图 </w:t>
      </w:r>
      <w:r>
        <w:rPr>
          <w:rFonts w:hint="eastAsia" w:ascii="仿宋" w:hAnsi="仿宋" w:eastAsia="仿宋" w:cs="仿宋"/>
          <w:b/>
          <w:bCs/>
          <w:sz w:val="32"/>
          <w:szCs w:val="32"/>
        </w:rPr>
        <w:fldChar w:fldCharType="begin"/>
      </w:r>
      <w:r>
        <w:rPr>
          <w:rFonts w:hint="eastAsia" w:ascii="仿宋" w:hAnsi="仿宋" w:eastAsia="仿宋" w:cs="仿宋"/>
          <w:b/>
          <w:bCs/>
          <w:sz w:val="32"/>
          <w:szCs w:val="32"/>
        </w:rPr>
        <w:instrText xml:space="preserve"> SEQ 图 \* ARABIC </w:instrText>
      </w:r>
      <w:r>
        <w:rPr>
          <w:rFonts w:hint="eastAsia" w:ascii="仿宋" w:hAnsi="仿宋" w:eastAsia="仿宋" w:cs="仿宋"/>
          <w:b/>
          <w:bCs/>
          <w:sz w:val="32"/>
          <w:szCs w:val="32"/>
        </w:rPr>
        <w:fldChar w:fldCharType="separate"/>
      </w:r>
      <w:r>
        <w:rPr>
          <w:rFonts w:hint="eastAsia" w:ascii="仿宋" w:hAnsi="仿宋" w:eastAsia="仿宋" w:cs="仿宋"/>
          <w:b/>
          <w:bCs/>
          <w:sz w:val="32"/>
          <w:szCs w:val="32"/>
        </w:rPr>
        <w:t>1</w:t>
      </w:r>
      <w:r>
        <w:rPr>
          <w:rFonts w:hint="eastAsia" w:ascii="仿宋" w:hAnsi="仿宋" w:eastAsia="仿宋" w:cs="仿宋"/>
          <w:b/>
          <w:bCs/>
          <w:sz w:val="32"/>
          <w:szCs w:val="32"/>
        </w:rPr>
        <w:fldChar w:fldCharType="end"/>
      </w:r>
      <w:r>
        <w:rPr>
          <w:rFonts w:hint="eastAsia" w:ascii="仿宋" w:hAnsi="仿宋" w:eastAsia="仿宋" w:cs="仿宋"/>
          <w:b/>
          <w:bCs/>
          <w:sz w:val="32"/>
          <w:szCs w:val="32"/>
          <w:lang w:val="en-US" w:eastAsia="zh-CN"/>
        </w:rPr>
        <w:t xml:space="preserve"> 规划范围图</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7960" cy="3721100"/>
            <wp:effectExtent l="0" t="0" r="5080" b="12700"/>
            <wp:docPr id="2" name="图片 2" descr="28土地利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8土地利用规划图"/>
                    <pic:cNvPicPr>
                      <a:picLocks noChangeAspect="1"/>
                    </pic:cNvPicPr>
                  </pic:nvPicPr>
                  <pic:blipFill>
                    <a:blip r:embed="rId5"/>
                    <a:stretch>
                      <a:fillRect/>
                    </a:stretch>
                  </pic:blipFill>
                  <pic:spPr>
                    <a:xfrm>
                      <a:off x="0" y="0"/>
                      <a:ext cx="5267960" cy="3721100"/>
                    </a:xfrm>
                    <a:prstGeom prst="rect">
                      <a:avLst/>
                    </a:prstGeom>
                  </pic:spPr>
                </pic:pic>
              </a:graphicData>
            </a:graphic>
          </wp:inline>
        </w:drawing>
      </w:r>
    </w:p>
    <w:p>
      <w:pPr>
        <w:pStyle w:val="3"/>
        <w:numPr>
          <w:ilvl w:val="0"/>
          <w:numId w:val="0"/>
        </w:numPr>
        <w:spacing w:line="360" w:lineRule="auto"/>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图 </w:t>
      </w:r>
      <w:r>
        <w:rPr>
          <w:rFonts w:hint="eastAsia" w:ascii="仿宋" w:hAnsi="仿宋" w:eastAsia="仿宋" w:cs="仿宋"/>
          <w:b/>
          <w:bCs/>
          <w:sz w:val="32"/>
          <w:szCs w:val="32"/>
          <w:lang w:val="en-US" w:eastAsia="zh-CN"/>
        </w:rPr>
        <w:fldChar w:fldCharType="begin"/>
      </w:r>
      <w:r>
        <w:rPr>
          <w:rFonts w:hint="eastAsia" w:ascii="仿宋" w:hAnsi="仿宋" w:eastAsia="仿宋" w:cs="仿宋"/>
          <w:b/>
          <w:bCs/>
          <w:sz w:val="32"/>
          <w:szCs w:val="32"/>
          <w:lang w:val="en-US" w:eastAsia="zh-CN"/>
        </w:rPr>
        <w:instrText xml:space="preserve"> SEQ 图 \* ARABIC </w:instrText>
      </w:r>
      <w:r>
        <w:rPr>
          <w:rFonts w:hint="eastAsia" w:ascii="仿宋" w:hAnsi="仿宋" w:eastAsia="仿宋" w:cs="仿宋"/>
          <w:b/>
          <w:bCs/>
          <w:sz w:val="32"/>
          <w:szCs w:val="32"/>
          <w:lang w:val="en-US" w:eastAsia="zh-CN"/>
        </w:rPr>
        <w:fldChar w:fldCharType="separate"/>
      </w:r>
      <w:r>
        <w:rPr>
          <w:rFonts w:hint="eastAsia" w:ascii="仿宋" w:hAnsi="仿宋" w:eastAsia="仿宋" w:cs="仿宋"/>
          <w:b/>
          <w:bCs/>
          <w:sz w:val="32"/>
          <w:szCs w:val="32"/>
          <w:lang w:val="en-US" w:eastAsia="zh-CN"/>
        </w:rPr>
        <w:t>2</w:t>
      </w:r>
      <w:r>
        <w:rPr>
          <w:rFonts w:hint="eastAsia" w:ascii="仿宋" w:hAnsi="仿宋" w:eastAsia="仿宋" w:cs="仿宋"/>
          <w:b/>
          <w:bCs/>
          <w:sz w:val="32"/>
          <w:szCs w:val="32"/>
          <w:lang w:val="en-US" w:eastAsia="zh-CN"/>
        </w:rPr>
        <w:fldChar w:fldCharType="end"/>
      </w:r>
      <w:r>
        <w:rPr>
          <w:rFonts w:hint="eastAsia" w:ascii="仿宋" w:hAnsi="仿宋" w:eastAsia="仿宋" w:cs="仿宋"/>
          <w:b/>
          <w:bCs/>
          <w:sz w:val="32"/>
          <w:szCs w:val="32"/>
          <w:lang w:val="en-US" w:eastAsia="zh-CN"/>
        </w:rPr>
        <w:t xml:space="preserve"> 土地利用规划图</w:t>
      </w:r>
    </w:p>
    <w:p>
      <w:pPr>
        <w:rPr>
          <w:rFonts w:hint="eastAsia" w:ascii="仿宋" w:hAnsi="仿宋" w:eastAsia="仿宋" w:cs="仿宋"/>
          <w:b/>
          <w:bCs/>
          <w:sz w:val="32"/>
          <w:szCs w:val="32"/>
          <w:lang w:val="en-US" w:eastAsia="zh-CN"/>
        </w:rPr>
      </w:pPr>
    </w:p>
    <w:p>
      <w:pPr>
        <w:rPr>
          <w:rFonts w:hint="eastAsia" w:ascii="仿宋" w:hAnsi="仿宋" w:eastAsia="仿宋" w:cs="仿宋"/>
          <w:b/>
          <w:bCs/>
          <w:sz w:val="32"/>
          <w:szCs w:val="32"/>
          <w:lang w:val="en-US" w:eastAsia="zh-CN"/>
        </w:rPr>
      </w:pPr>
    </w:p>
    <w:p>
      <w:pPr>
        <w:rPr>
          <w:rFonts w:hint="eastAsia" w:ascii="仿宋" w:hAnsi="仿宋" w:eastAsia="仿宋" w:cs="仿宋"/>
          <w:b/>
          <w:bCs/>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8595" cy="3721735"/>
            <wp:effectExtent l="0" t="0" r="4445" b="12065"/>
            <wp:docPr id="6" name="图片 6" descr="22街区规划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街区规划结构图"/>
                    <pic:cNvPicPr>
                      <a:picLocks noChangeAspect="1"/>
                    </pic:cNvPicPr>
                  </pic:nvPicPr>
                  <pic:blipFill>
                    <a:blip r:embed="rId6"/>
                    <a:stretch>
                      <a:fillRect/>
                    </a:stretch>
                  </pic:blipFill>
                  <pic:spPr>
                    <a:xfrm>
                      <a:off x="0" y="0"/>
                      <a:ext cx="5268595" cy="3721735"/>
                    </a:xfrm>
                    <a:prstGeom prst="rect">
                      <a:avLst/>
                    </a:prstGeom>
                  </pic:spPr>
                </pic:pic>
              </a:graphicData>
            </a:graphic>
          </wp:inline>
        </w:drawing>
      </w:r>
    </w:p>
    <w:p>
      <w:pPr>
        <w:pStyle w:val="3"/>
        <w:numPr>
          <w:ilvl w:val="0"/>
          <w:numId w:val="0"/>
        </w:numPr>
        <w:spacing w:line="360" w:lineRule="auto"/>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图 </w:t>
      </w:r>
      <w:r>
        <w:rPr>
          <w:rFonts w:hint="eastAsia" w:ascii="仿宋" w:hAnsi="仿宋" w:eastAsia="仿宋" w:cs="仿宋"/>
          <w:b/>
          <w:bCs/>
          <w:sz w:val="32"/>
          <w:szCs w:val="32"/>
          <w:lang w:val="en-US" w:eastAsia="zh-CN"/>
        </w:rPr>
        <w:fldChar w:fldCharType="begin"/>
      </w:r>
      <w:r>
        <w:rPr>
          <w:rFonts w:hint="eastAsia" w:ascii="仿宋" w:hAnsi="仿宋" w:eastAsia="仿宋" w:cs="仿宋"/>
          <w:b/>
          <w:bCs/>
          <w:sz w:val="32"/>
          <w:szCs w:val="32"/>
          <w:lang w:val="en-US" w:eastAsia="zh-CN"/>
        </w:rPr>
        <w:instrText xml:space="preserve"> SEQ 图 \* ARABIC </w:instrText>
      </w:r>
      <w:r>
        <w:rPr>
          <w:rFonts w:hint="eastAsia" w:ascii="仿宋" w:hAnsi="仿宋" w:eastAsia="仿宋" w:cs="仿宋"/>
          <w:b/>
          <w:bCs/>
          <w:sz w:val="32"/>
          <w:szCs w:val="32"/>
          <w:lang w:val="en-US" w:eastAsia="zh-CN"/>
        </w:rPr>
        <w:fldChar w:fldCharType="separate"/>
      </w:r>
      <w:r>
        <w:rPr>
          <w:rFonts w:hint="eastAsia" w:ascii="仿宋" w:hAnsi="仿宋" w:eastAsia="仿宋" w:cs="仿宋"/>
          <w:b/>
          <w:bCs/>
          <w:sz w:val="32"/>
          <w:szCs w:val="32"/>
          <w:lang w:val="en-US" w:eastAsia="zh-CN"/>
        </w:rPr>
        <w:t>3</w:t>
      </w:r>
      <w:r>
        <w:rPr>
          <w:rFonts w:hint="eastAsia" w:ascii="仿宋" w:hAnsi="仿宋" w:eastAsia="仿宋" w:cs="仿宋"/>
          <w:b/>
          <w:bCs/>
          <w:sz w:val="32"/>
          <w:szCs w:val="32"/>
          <w:lang w:val="en-US" w:eastAsia="zh-CN"/>
        </w:rPr>
        <w:fldChar w:fldCharType="end"/>
      </w:r>
      <w:r>
        <w:rPr>
          <w:rFonts w:hint="eastAsia" w:ascii="仿宋" w:hAnsi="仿宋" w:eastAsia="仿宋" w:cs="仿宋"/>
          <w:b/>
          <w:bCs/>
          <w:sz w:val="32"/>
          <w:szCs w:val="32"/>
          <w:lang w:val="en-US" w:eastAsia="zh-CN"/>
        </w:rPr>
        <w:t xml:space="preserve"> 街区规划结构图</w:t>
      </w:r>
    </w:p>
    <w:p>
      <w:pPr>
        <w:rPr>
          <w:rFonts w:hint="eastAsia" w:ascii="仿宋" w:hAnsi="仿宋" w:eastAsia="仿宋" w:cs="仿宋"/>
          <w:sz w:val="32"/>
          <w:szCs w:val="32"/>
          <w:lang w:val="en-US" w:eastAsia="zh-CN"/>
        </w:rPr>
      </w:pPr>
    </w:p>
    <w:p>
      <w:pPr>
        <w:pStyle w:val="3"/>
        <w:numPr>
          <w:ilvl w:val="0"/>
          <w:numId w:val="0"/>
        </w:numPr>
        <w:spacing w:line="360" w:lineRule="auto"/>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68595" cy="3721735"/>
            <wp:effectExtent l="0" t="0" r="4445" b="12065"/>
            <wp:docPr id="7" name="图片 7" descr="31展示利用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1展示利用结构图"/>
                    <pic:cNvPicPr>
                      <a:picLocks noChangeAspect="1"/>
                    </pic:cNvPicPr>
                  </pic:nvPicPr>
                  <pic:blipFill>
                    <a:blip r:embed="rId7"/>
                    <a:stretch>
                      <a:fillRect/>
                    </a:stretch>
                  </pic:blipFill>
                  <pic:spPr>
                    <a:xfrm>
                      <a:off x="0" y="0"/>
                      <a:ext cx="5268595" cy="3721735"/>
                    </a:xfrm>
                    <a:prstGeom prst="rect">
                      <a:avLst/>
                    </a:prstGeom>
                  </pic:spPr>
                </pic:pic>
              </a:graphicData>
            </a:graphic>
          </wp:inline>
        </w:drawing>
      </w:r>
      <w:r>
        <w:rPr>
          <w:rFonts w:hint="eastAsia" w:ascii="仿宋" w:hAnsi="仿宋" w:eastAsia="仿宋" w:cs="仿宋"/>
          <w:b/>
          <w:bCs/>
          <w:sz w:val="32"/>
          <w:szCs w:val="32"/>
          <w:lang w:val="en-US" w:eastAsia="zh-CN"/>
        </w:rPr>
        <w:t xml:space="preserve">图 </w:t>
      </w:r>
      <w:r>
        <w:rPr>
          <w:rFonts w:hint="eastAsia" w:ascii="仿宋" w:hAnsi="仿宋" w:eastAsia="仿宋" w:cs="仿宋"/>
          <w:b/>
          <w:bCs/>
          <w:sz w:val="32"/>
          <w:szCs w:val="32"/>
          <w:lang w:val="en-US" w:eastAsia="zh-CN"/>
        </w:rPr>
        <w:fldChar w:fldCharType="begin"/>
      </w:r>
      <w:r>
        <w:rPr>
          <w:rFonts w:hint="eastAsia" w:ascii="仿宋" w:hAnsi="仿宋" w:eastAsia="仿宋" w:cs="仿宋"/>
          <w:b/>
          <w:bCs/>
          <w:sz w:val="32"/>
          <w:szCs w:val="32"/>
          <w:lang w:val="en-US" w:eastAsia="zh-CN"/>
        </w:rPr>
        <w:instrText xml:space="preserve"> SEQ 图 \* ARABIC </w:instrText>
      </w:r>
      <w:r>
        <w:rPr>
          <w:rFonts w:hint="eastAsia" w:ascii="仿宋" w:hAnsi="仿宋" w:eastAsia="仿宋" w:cs="仿宋"/>
          <w:b/>
          <w:bCs/>
          <w:sz w:val="32"/>
          <w:szCs w:val="32"/>
          <w:lang w:val="en-US" w:eastAsia="zh-CN"/>
        </w:rPr>
        <w:fldChar w:fldCharType="separate"/>
      </w:r>
      <w:r>
        <w:rPr>
          <w:rFonts w:hint="eastAsia" w:ascii="仿宋" w:hAnsi="仿宋" w:eastAsia="仿宋" w:cs="仿宋"/>
          <w:b/>
          <w:bCs/>
          <w:sz w:val="32"/>
          <w:szCs w:val="32"/>
          <w:lang w:val="en-US" w:eastAsia="zh-CN"/>
        </w:rPr>
        <w:t>4</w:t>
      </w:r>
      <w:r>
        <w:rPr>
          <w:rFonts w:hint="eastAsia" w:ascii="仿宋" w:hAnsi="仿宋" w:eastAsia="仿宋" w:cs="仿宋"/>
          <w:b/>
          <w:bCs/>
          <w:sz w:val="32"/>
          <w:szCs w:val="32"/>
          <w:lang w:val="en-US" w:eastAsia="zh-CN"/>
        </w:rPr>
        <w:fldChar w:fldCharType="end"/>
      </w:r>
      <w:r>
        <w:rPr>
          <w:rFonts w:hint="eastAsia" w:ascii="仿宋" w:hAnsi="仿宋" w:eastAsia="仿宋" w:cs="仿宋"/>
          <w:b/>
          <w:bCs/>
          <w:sz w:val="32"/>
          <w:szCs w:val="32"/>
          <w:lang w:val="en-US" w:eastAsia="zh-CN"/>
        </w:rPr>
        <w:t xml:space="preserve"> 展示利用结构图</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8595" cy="3721735"/>
            <wp:effectExtent l="0" t="0" r="4445" b="12065"/>
            <wp:docPr id="8" name="图片 8" descr="32展示利用游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2展示利用游线图"/>
                    <pic:cNvPicPr>
                      <a:picLocks noChangeAspect="1"/>
                    </pic:cNvPicPr>
                  </pic:nvPicPr>
                  <pic:blipFill>
                    <a:blip r:embed="rId8"/>
                    <a:stretch>
                      <a:fillRect/>
                    </a:stretch>
                  </pic:blipFill>
                  <pic:spPr>
                    <a:xfrm>
                      <a:off x="0" y="0"/>
                      <a:ext cx="5268595" cy="3721735"/>
                    </a:xfrm>
                    <a:prstGeom prst="rect">
                      <a:avLst/>
                    </a:prstGeom>
                  </pic:spPr>
                </pic:pic>
              </a:graphicData>
            </a:graphic>
          </wp:inline>
        </w:drawing>
      </w:r>
    </w:p>
    <w:p>
      <w:pPr>
        <w:pStyle w:val="3"/>
        <w:numPr>
          <w:ilvl w:val="0"/>
          <w:numId w:val="0"/>
        </w:numPr>
        <w:spacing w:line="360" w:lineRule="auto"/>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图 </w:t>
      </w:r>
      <w:r>
        <w:rPr>
          <w:rFonts w:hint="eastAsia" w:ascii="仿宋" w:hAnsi="仿宋" w:eastAsia="仿宋" w:cs="仿宋"/>
          <w:b/>
          <w:bCs/>
          <w:sz w:val="32"/>
          <w:szCs w:val="32"/>
          <w:lang w:val="en-US" w:eastAsia="zh-CN"/>
        </w:rPr>
        <w:fldChar w:fldCharType="begin"/>
      </w:r>
      <w:r>
        <w:rPr>
          <w:rFonts w:hint="eastAsia" w:ascii="仿宋" w:hAnsi="仿宋" w:eastAsia="仿宋" w:cs="仿宋"/>
          <w:b/>
          <w:bCs/>
          <w:sz w:val="32"/>
          <w:szCs w:val="32"/>
          <w:lang w:val="en-US" w:eastAsia="zh-CN"/>
        </w:rPr>
        <w:instrText xml:space="preserve"> SEQ 图 \* ARABIC </w:instrText>
      </w:r>
      <w:r>
        <w:rPr>
          <w:rFonts w:hint="eastAsia" w:ascii="仿宋" w:hAnsi="仿宋" w:eastAsia="仿宋" w:cs="仿宋"/>
          <w:b/>
          <w:bCs/>
          <w:sz w:val="32"/>
          <w:szCs w:val="32"/>
          <w:lang w:val="en-US" w:eastAsia="zh-CN"/>
        </w:rPr>
        <w:fldChar w:fldCharType="separate"/>
      </w:r>
      <w:r>
        <w:rPr>
          <w:rFonts w:hint="eastAsia" w:ascii="仿宋" w:hAnsi="仿宋" w:eastAsia="仿宋" w:cs="仿宋"/>
          <w:b/>
          <w:bCs/>
          <w:sz w:val="32"/>
          <w:szCs w:val="32"/>
          <w:lang w:val="en-US" w:eastAsia="zh-CN"/>
        </w:rPr>
        <w:t>5</w:t>
      </w:r>
      <w:r>
        <w:rPr>
          <w:rFonts w:hint="eastAsia" w:ascii="仿宋" w:hAnsi="仿宋" w:eastAsia="仿宋" w:cs="仿宋"/>
          <w:b/>
          <w:bCs/>
          <w:sz w:val="32"/>
          <w:szCs w:val="32"/>
          <w:lang w:val="en-US" w:eastAsia="zh-CN"/>
        </w:rPr>
        <w:fldChar w:fldCharType="end"/>
      </w:r>
      <w:r>
        <w:rPr>
          <w:rFonts w:hint="eastAsia" w:ascii="仿宋" w:hAnsi="仿宋" w:eastAsia="仿宋" w:cs="仿宋"/>
          <w:b/>
          <w:bCs/>
          <w:sz w:val="32"/>
          <w:szCs w:val="32"/>
          <w:lang w:val="en-US" w:eastAsia="zh-CN"/>
        </w:rPr>
        <w:t xml:space="preserve"> 展示利用游线图</w:t>
      </w:r>
    </w:p>
    <w:p>
      <w:pPr>
        <w:rPr>
          <w:rFonts w:hint="eastAsia" w:ascii="仿宋" w:hAnsi="仿宋" w:eastAsia="仿宋" w:cs="仿宋"/>
          <w:b/>
          <w:bCs/>
          <w:sz w:val="32"/>
          <w:szCs w:val="32"/>
          <w:lang w:val="en-US" w:eastAsia="zh-CN"/>
        </w:rPr>
      </w:pPr>
    </w:p>
    <w:p>
      <w:pPr>
        <w:numPr>
          <w:ilvl w:val="0"/>
          <w:numId w:val="0"/>
        </w:numPr>
        <w:spacing w:line="360" w:lineRule="auto"/>
        <w:rPr>
          <w:rFonts w:hint="eastAsia" w:ascii="微软雅黑" w:hAnsi="微软雅黑" w:eastAsia="微软雅黑" w:cs="微软雅黑"/>
          <w:b/>
          <w:bCs/>
          <w:i w:val="0"/>
          <w:iCs w:val="0"/>
          <w:caps w:val="0"/>
          <w:color w:val="333333"/>
          <w:spacing w:val="0"/>
          <w:sz w:val="28"/>
          <w:szCs w:val="28"/>
          <w:shd w:val="clear" w:fill="FFFFFF"/>
          <w:lang w:val="en-US" w:eastAsia="zh-CN"/>
        </w:rPr>
      </w:pPr>
      <w:r>
        <w:rPr>
          <w:rFonts w:hint="eastAsia" w:ascii="微软雅黑" w:hAnsi="微软雅黑" w:eastAsia="微软雅黑" w:cs="微软雅黑"/>
          <w:b/>
          <w:bCs/>
          <w:i w:val="0"/>
          <w:iCs w:val="0"/>
          <w:caps w:val="0"/>
          <w:color w:val="333333"/>
          <w:spacing w:val="0"/>
          <w:sz w:val="28"/>
          <w:szCs w:val="28"/>
          <w:shd w:val="clear" w:fill="FFFFFF"/>
          <w:lang w:val="en-US" w:eastAsia="zh-CN"/>
        </w:rPr>
        <w:t>附表：</w:t>
      </w:r>
    </w:p>
    <w:p>
      <w:pPr>
        <w:numPr>
          <w:ilvl w:val="0"/>
          <w:numId w:val="0"/>
        </w:numPr>
        <w:spacing w:line="360" w:lineRule="auto"/>
        <w:jc w:val="center"/>
        <w:rPr>
          <w:rFonts w:hint="default" w:ascii="微软雅黑" w:hAnsi="微软雅黑" w:eastAsia="微软雅黑" w:cs="微软雅黑"/>
          <w:b/>
          <w:bCs/>
          <w:i w:val="0"/>
          <w:iCs w:val="0"/>
          <w:caps w:val="0"/>
          <w:color w:val="333333"/>
          <w:spacing w:val="0"/>
          <w:sz w:val="21"/>
          <w:szCs w:val="21"/>
          <w:shd w:val="clear" w:fill="FFFFFF"/>
          <w:lang w:val="en-US" w:eastAsia="zh-CN"/>
        </w:rPr>
      </w:pPr>
      <w:r>
        <w:rPr>
          <w:rFonts w:hint="eastAsia" w:ascii="微软雅黑" w:hAnsi="微软雅黑" w:eastAsia="微软雅黑" w:cs="微软雅黑"/>
          <w:b/>
          <w:bCs/>
          <w:i w:val="0"/>
          <w:iCs w:val="0"/>
          <w:caps w:val="0"/>
          <w:color w:val="333333"/>
          <w:spacing w:val="0"/>
          <w:sz w:val="28"/>
          <w:szCs w:val="28"/>
          <w:shd w:val="clear" w:fill="FFFFFF"/>
          <w:lang w:val="en-US" w:eastAsia="zh-CN"/>
        </w:rPr>
        <w:t>街区保护建筑原门牌号与现门牌号对应表</w:t>
      </w:r>
    </w:p>
    <w:tbl>
      <w:tblPr>
        <w:tblStyle w:val="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07"/>
        <w:gridCol w:w="1708"/>
        <w:gridCol w:w="2720"/>
        <w:gridCol w:w="23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序号</w:t>
            </w:r>
          </w:p>
        </w:tc>
        <w:tc>
          <w:tcPr>
            <w:tcW w:w="10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类型</w:t>
            </w:r>
          </w:p>
        </w:tc>
        <w:tc>
          <w:tcPr>
            <w:tcW w:w="1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原门牌号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现门牌号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县级文物保护单位</w:t>
            </w: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中山路13号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化龙街5号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0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历史建筑</w:t>
            </w: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中山路1号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化龙街1号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中山路3号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安平巷1号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中山路5号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紫薇巷2号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中山路11号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化龙街3号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中山路21号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化龙街7号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中山路25号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化龙街9号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中山路27号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化龙街11号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中山路29号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化龙街13号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爱国路115号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天王前街5号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爱国路117号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天王前街7号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爱国路123号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天王前街11号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爱国路125号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天王前街13号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爱国路130号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天王前街16号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进步巷28号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祠堂弄3号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10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建议历史建筑</w:t>
            </w: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中山路7号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安平巷4号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中山路15号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琏巷2号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爱国路124号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天王前街8号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爱国路136号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紫薇巷1号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进步巷30号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祠堂弄4号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进步巷32号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祠堂弄2号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中山路97号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天王前街9号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w:t>
            </w: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微软雅黑" w:hAnsi="微软雅黑" w:eastAsia="微软雅黑" w:cs="微软雅黑"/>
                <w:i w:val="0"/>
                <w:iCs w:val="0"/>
                <w:color w:val="000000"/>
                <w:sz w:val="20"/>
                <w:szCs w:val="20"/>
                <w:u w:val="none"/>
              </w:rPr>
            </w:pPr>
          </w:p>
        </w:tc>
        <w:tc>
          <w:tcPr>
            <w:tcW w:w="1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中山路107号</w:t>
            </w:r>
          </w:p>
        </w:tc>
        <w:tc>
          <w:tcPr>
            <w:tcW w:w="1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紫薇巷3号</w:t>
            </w:r>
          </w:p>
        </w:tc>
      </w:tr>
    </w:tbl>
    <w:p>
      <w:pPr>
        <w:rPr>
          <w:rFonts w:hint="eastAsia" w:ascii="仿宋" w:hAnsi="仿宋" w:eastAsia="仿宋" w:cs="仿宋"/>
          <w:b/>
          <w:bCs/>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4NTc5MzkzMTlhMmM3ZjVmMDcxZWI4NTM0YjdmZGYifQ=="/>
  </w:docVars>
  <w:rsids>
    <w:rsidRoot w:val="00000000"/>
    <w:rsid w:val="05A933B1"/>
    <w:rsid w:val="06EE319F"/>
    <w:rsid w:val="153537FC"/>
    <w:rsid w:val="160A2422"/>
    <w:rsid w:val="24500CA1"/>
    <w:rsid w:val="26614C4B"/>
    <w:rsid w:val="32371F6F"/>
    <w:rsid w:val="33A075A5"/>
    <w:rsid w:val="45E22BAD"/>
    <w:rsid w:val="4EAD1822"/>
    <w:rsid w:val="633A1E56"/>
    <w:rsid w:val="6BC54C4C"/>
    <w:rsid w:val="6BE7241B"/>
    <w:rsid w:val="79A74F98"/>
    <w:rsid w:val="7CFA2D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caption"/>
    <w:basedOn w:val="1"/>
    <w:next w:val="1"/>
    <w:semiHidden/>
    <w:unhideWhenUsed/>
    <w:qFormat/>
    <w:uiPriority w:val="0"/>
    <w:rPr>
      <w:rFonts w:ascii="Arial" w:hAnsi="Arial" w:eastAsia="黑体"/>
      <w:sz w:val="20"/>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2256</Words>
  <Characters>2349</Characters>
  <Lines>0</Lines>
  <Paragraphs>0</Paragraphs>
  <TotalTime>264</TotalTime>
  <ScaleCrop>false</ScaleCrop>
  <LinksUpToDate>false</LinksUpToDate>
  <CharactersWithSpaces>2359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2023-03-21T08:55:00Z</dcterms:created>
  <dc:creator>fantasy</dc:creator>
  <cp:lastModifiedBy>流浪猫</cp:lastModifiedBy>
  <cp:lastPrinted>2023-03-31T07:55:34Z</cp:lastPrinted>
  <dcterms:modified xsi:type="dcterms:W3CDTF">2023-04-03T02:03:42Z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B23135319EC04C3EBF2C3735A590DDC9</vt:lpwstr>
  </property>
</Properties>
</file>